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page" w:horzAnchor="margin" w:tblpXSpec="center" w:tblpY="721"/>
        <w:tblW w:w="9505" w:type="dxa"/>
        <w:tblLook w:val="04A0" w:firstRow="1" w:lastRow="0" w:firstColumn="1" w:lastColumn="0" w:noHBand="0" w:noVBand="1"/>
      </w:tblPr>
      <w:tblGrid>
        <w:gridCol w:w="2268"/>
        <w:gridCol w:w="4678"/>
        <w:gridCol w:w="1218"/>
        <w:gridCol w:w="1341"/>
      </w:tblGrid>
      <w:tr w:rsidR="00FA7598" w:rsidRPr="003622FD" w14:paraId="44392DEB" w14:textId="77777777" w:rsidTr="5ACAFE6A">
        <w:trPr>
          <w:trHeight w:val="746"/>
        </w:trPr>
        <w:tc>
          <w:tcPr>
            <w:tcW w:w="2268" w:type="dxa"/>
            <w:tcBorders>
              <w:top w:val="single" w:sz="4" w:space="0" w:color="auto"/>
              <w:left w:val="single" w:sz="4" w:space="0" w:color="auto"/>
              <w:bottom w:val="nil"/>
              <w:right w:val="single" w:sz="4" w:space="0" w:color="auto"/>
            </w:tcBorders>
          </w:tcPr>
          <w:p w14:paraId="1783B109" w14:textId="12D9622E" w:rsidR="00384F74" w:rsidRPr="003622FD" w:rsidRDefault="00384F74" w:rsidP="00384F74">
            <w:pPr>
              <w:pStyle w:val="Encabezado"/>
              <w:rPr>
                <w:rFonts w:cs="Arial"/>
                <w:b/>
                <w:bCs/>
                <w:sz w:val="22"/>
              </w:rPr>
            </w:pPr>
          </w:p>
        </w:tc>
        <w:tc>
          <w:tcPr>
            <w:tcW w:w="4678" w:type="dxa"/>
            <w:tcBorders>
              <w:top w:val="single" w:sz="4" w:space="0" w:color="auto"/>
              <w:left w:val="single" w:sz="4" w:space="0" w:color="auto"/>
              <w:right w:val="single" w:sz="4" w:space="0" w:color="auto"/>
            </w:tcBorders>
            <w:vAlign w:val="center"/>
          </w:tcPr>
          <w:p w14:paraId="322B6F07" w14:textId="781C674C" w:rsidR="00384F74" w:rsidRPr="003622FD" w:rsidRDefault="00CB669E" w:rsidP="5ACAFE6A">
            <w:pPr>
              <w:pStyle w:val="Encabezado"/>
              <w:spacing w:before="0"/>
              <w:jc w:val="center"/>
              <w:rPr>
                <w:rFonts w:cs="Arial"/>
                <w:b/>
                <w:bCs/>
                <w:sz w:val="22"/>
              </w:rPr>
            </w:pPr>
            <w:r w:rsidRPr="5ACAFE6A">
              <w:rPr>
                <w:rFonts w:cs="Arial"/>
                <w:b/>
                <w:bCs/>
                <w:sz w:val="22"/>
              </w:rPr>
              <w:t>GESTIÓN DE LINEAMIENTOS, METODOLOGÍAS E INSTRUMENTOS PARA IVC</w:t>
            </w:r>
          </w:p>
        </w:tc>
        <w:tc>
          <w:tcPr>
            <w:tcW w:w="1218" w:type="dxa"/>
            <w:tcBorders>
              <w:left w:val="single" w:sz="4" w:space="0" w:color="auto"/>
            </w:tcBorders>
            <w:vAlign w:val="center"/>
          </w:tcPr>
          <w:p w14:paraId="474F2154" w14:textId="77777777" w:rsidR="00384F74" w:rsidRPr="00D05366" w:rsidRDefault="00384F74" w:rsidP="00DF2ADA">
            <w:pPr>
              <w:pStyle w:val="Encabezado"/>
              <w:spacing w:before="0"/>
              <w:jc w:val="center"/>
              <w:rPr>
                <w:rFonts w:cs="Arial"/>
                <w:b/>
                <w:bCs/>
                <w:sz w:val="20"/>
                <w:szCs w:val="20"/>
              </w:rPr>
            </w:pPr>
            <w:r w:rsidRPr="00D05366">
              <w:rPr>
                <w:rFonts w:cs="Arial"/>
                <w:b/>
                <w:bCs/>
                <w:sz w:val="20"/>
                <w:szCs w:val="20"/>
              </w:rPr>
              <w:t>CÓDIGO</w:t>
            </w:r>
          </w:p>
        </w:tc>
        <w:tc>
          <w:tcPr>
            <w:tcW w:w="1341" w:type="dxa"/>
            <w:vAlign w:val="center"/>
          </w:tcPr>
          <w:p w14:paraId="41BE7FCA" w14:textId="2D072E0F" w:rsidR="00384F74" w:rsidRPr="00D05366" w:rsidRDefault="00DF2ADA" w:rsidP="00DF2ADA">
            <w:pPr>
              <w:pStyle w:val="Encabezado"/>
              <w:spacing w:before="0"/>
              <w:jc w:val="center"/>
              <w:rPr>
                <w:rFonts w:cs="Arial"/>
                <w:bCs/>
                <w:sz w:val="20"/>
                <w:szCs w:val="20"/>
              </w:rPr>
            </w:pPr>
            <w:r w:rsidRPr="00DF2ADA">
              <w:rPr>
                <w:rFonts w:cs="Arial"/>
                <w:bCs/>
                <w:sz w:val="20"/>
                <w:szCs w:val="20"/>
              </w:rPr>
              <w:t>E5-FT-6</w:t>
            </w:r>
          </w:p>
        </w:tc>
      </w:tr>
      <w:tr w:rsidR="00FA7598" w:rsidRPr="003622FD" w14:paraId="6A802BFF" w14:textId="77777777" w:rsidTr="5ACAFE6A">
        <w:trPr>
          <w:trHeight w:val="746"/>
        </w:trPr>
        <w:tc>
          <w:tcPr>
            <w:tcW w:w="2268" w:type="dxa"/>
            <w:tcBorders>
              <w:top w:val="nil"/>
              <w:left w:val="single" w:sz="4" w:space="0" w:color="auto"/>
              <w:bottom w:val="nil"/>
              <w:right w:val="single" w:sz="4" w:space="0" w:color="auto"/>
            </w:tcBorders>
          </w:tcPr>
          <w:p w14:paraId="60A3596D" w14:textId="38983F00" w:rsidR="00384F74" w:rsidRPr="003622FD" w:rsidRDefault="005D7F84" w:rsidP="00384F74">
            <w:pPr>
              <w:pStyle w:val="Encabezado"/>
              <w:rPr>
                <w:rFonts w:cs="Arial"/>
                <w:b/>
                <w:bCs/>
                <w:sz w:val="22"/>
              </w:rPr>
            </w:pPr>
            <w:r w:rsidRPr="003622FD">
              <w:rPr>
                <w:rFonts w:cs="Arial"/>
                <w:b/>
                <w:bCs/>
                <w:noProof/>
                <w:sz w:val="22"/>
              </w:rPr>
              <w:drawing>
                <wp:anchor distT="0" distB="0" distL="114300" distR="114300" simplePos="0" relativeHeight="251658240" behindDoc="0" locked="0" layoutInCell="1" allowOverlap="1" wp14:anchorId="45ACE888" wp14:editId="356CF4BB">
                  <wp:simplePos x="0" y="0"/>
                  <wp:positionH relativeFrom="column">
                    <wp:posOffset>-52070</wp:posOffset>
                  </wp:positionH>
                  <wp:positionV relativeFrom="paragraph">
                    <wp:posOffset>-210185</wp:posOffset>
                  </wp:positionV>
                  <wp:extent cx="1374775" cy="904875"/>
                  <wp:effectExtent l="0" t="0" r="0" b="0"/>
                  <wp:wrapNone/>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a:extLst>
                              <a:ext uri="{C183D7F6-B498-43B3-948B-1728B52AA6E4}">
                                <adec:decorative xmlns:adec="http://schemas.microsoft.com/office/drawing/2017/decorative" val="1"/>
                              </a:ext>
                            </a:extLst>
                          </pic:cNvPr>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8291" b="-11487"/>
                          <a:stretch/>
                        </pic:blipFill>
                        <pic:spPr bwMode="auto">
                          <a:xfrm>
                            <a:off x="0" y="0"/>
                            <a:ext cx="1374775" cy="90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678" w:type="dxa"/>
            <w:vMerge w:val="restart"/>
            <w:tcBorders>
              <w:left w:val="single" w:sz="4" w:space="0" w:color="auto"/>
              <w:right w:val="single" w:sz="4" w:space="0" w:color="auto"/>
            </w:tcBorders>
            <w:vAlign w:val="center"/>
          </w:tcPr>
          <w:p w14:paraId="75AA8841" w14:textId="1F7E1286" w:rsidR="00384F74" w:rsidRPr="003622FD" w:rsidRDefault="004B41ED" w:rsidP="00DF2ADA">
            <w:pPr>
              <w:pStyle w:val="Encabezado"/>
              <w:spacing w:before="0"/>
              <w:jc w:val="center"/>
              <w:rPr>
                <w:rFonts w:cs="Arial"/>
                <w:b/>
                <w:bCs/>
                <w:sz w:val="22"/>
              </w:rPr>
            </w:pPr>
            <w:r>
              <w:rPr>
                <w:rFonts w:cs="Arial"/>
                <w:b/>
                <w:bCs/>
                <w:sz w:val="22"/>
              </w:rPr>
              <w:t xml:space="preserve">ANÁLISIS DE IMPACTO NORMATIVO </w:t>
            </w:r>
            <w:r w:rsidR="00A979AB">
              <w:rPr>
                <w:rFonts w:cs="Arial"/>
                <w:b/>
                <w:bCs/>
                <w:sz w:val="22"/>
              </w:rPr>
              <w:t>SIMPLE</w:t>
            </w:r>
          </w:p>
        </w:tc>
        <w:tc>
          <w:tcPr>
            <w:tcW w:w="1218" w:type="dxa"/>
            <w:tcBorders>
              <w:left w:val="single" w:sz="4" w:space="0" w:color="auto"/>
            </w:tcBorders>
            <w:vAlign w:val="center"/>
          </w:tcPr>
          <w:p w14:paraId="2A3A27C4" w14:textId="77777777" w:rsidR="00384F74" w:rsidRPr="00D05366" w:rsidRDefault="00384F74" w:rsidP="00DF2ADA">
            <w:pPr>
              <w:pStyle w:val="Encabezado"/>
              <w:spacing w:before="0"/>
              <w:jc w:val="center"/>
              <w:rPr>
                <w:rFonts w:cs="Arial"/>
                <w:b/>
                <w:bCs/>
                <w:sz w:val="20"/>
                <w:szCs w:val="20"/>
              </w:rPr>
            </w:pPr>
            <w:r w:rsidRPr="00D05366">
              <w:rPr>
                <w:rFonts w:cs="Arial"/>
                <w:b/>
                <w:bCs/>
                <w:sz w:val="20"/>
                <w:szCs w:val="20"/>
              </w:rPr>
              <w:t>VERSIÓN</w:t>
            </w:r>
          </w:p>
        </w:tc>
        <w:tc>
          <w:tcPr>
            <w:tcW w:w="1341" w:type="dxa"/>
            <w:vAlign w:val="center"/>
          </w:tcPr>
          <w:p w14:paraId="14145150" w14:textId="63BD9B1E" w:rsidR="00384F74" w:rsidRPr="00D05366" w:rsidRDefault="005D7F84" w:rsidP="00DF2ADA">
            <w:pPr>
              <w:pStyle w:val="Encabezado"/>
              <w:spacing w:before="0"/>
              <w:jc w:val="center"/>
              <w:rPr>
                <w:rFonts w:cs="Arial"/>
                <w:bCs/>
                <w:sz w:val="20"/>
                <w:szCs w:val="20"/>
              </w:rPr>
            </w:pPr>
            <w:r>
              <w:rPr>
                <w:rFonts w:cs="Arial"/>
                <w:bCs/>
                <w:sz w:val="20"/>
                <w:szCs w:val="20"/>
              </w:rPr>
              <w:t>1</w:t>
            </w:r>
          </w:p>
        </w:tc>
      </w:tr>
      <w:tr w:rsidR="00FA7598" w:rsidRPr="003622FD" w14:paraId="3E8D16B5" w14:textId="77777777" w:rsidTr="5ACAFE6A">
        <w:trPr>
          <w:trHeight w:val="746"/>
        </w:trPr>
        <w:tc>
          <w:tcPr>
            <w:tcW w:w="2268" w:type="dxa"/>
            <w:tcBorders>
              <w:top w:val="nil"/>
              <w:left w:val="single" w:sz="4" w:space="0" w:color="auto"/>
              <w:bottom w:val="single" w:sz="4" w:space="0" w:color="auto"/>
              <w:right w:val="single" w:sz="4" w:space="0" w:color="auto"/>
            </w:tcBorders>
          </w:tcPr>
          <w:p w14:paraId="5224CFD8" w14:textId="77777777" w:rsidR="00384F74" w:rsidRPr="003622FD" w:rsidRDefault="00384F74" w:rsidP="004B41ED">
            <w:pPr>
              <w:pStyle w:val="Encabezado"/>
              <w:spacing w:before="0" w:line="360" w:lineRule="auto"/>
              <w:rPr>
                <w:rFonts w:cs="Arial"/>
                <w:b/>
                <w:bCs/>
                <w:sz w:val="22"/>
              </w:rPr>
            </w:pPr>
          </w:p>
        </w:tc>
        <w:tc>
          <w:tcPr>
            <w:tcW w:w="4678" w:type="dxa"/>
            <w:vMerge/>
            <w:vAlign w:val="center"/>
          </w:tcPr>
          <w:p w14:paraId="6946751F" w14:textId="77777777" w:rsidR="00384F74" w:rsidRPr="003622FD" w:rsidRDefault="00384F74" w:rsidP="00DF2ADA">
            <w:pPr>
              <w:pStyle w:val="Encabezado"/>
              <w:spacing w:before="0"/>
              <w:jc w:val="center"/>
              <w:rPr>
                <w:rFonts w:cs="Arial"/>
                <w:b/>
                <w:bCs/>
                <w:sz w:val="22"/>
              </w:rPr>
            </w:pPr>
          </w:p>
        </w:tc>
        <w:tc>
          <w:tcPr>
            <w:tcW w:w="1218" w:type="dxa"/>
            <w:tcBorders>
              <w:left w:val="single" w:sz="4" w:space="0" w:color="auto"/>
            </w:tcBorders>
            <w:vAlign w:val="center"/>
          </w:tcPr>
          <w:p w14:paraId="4F08166E" w14:textId="77777777" w:rsidR="00384F74" w:rsidRPr="00D05366" w:rsidRDefault="00384F74" w:rsidP="00DF2ADA">
            <w:pPr>
              <w:pStyle w:val="Encabezado"/>
              <w:spacing w:before="0"/>
              <w:jc w:val="center"/>
              <w:rPr>
                <w:rFonts w:cs="Arial"/>
                <w:b/>
                <w:bCs/>
                <w:sz w:val="20"/>
                <w:szCs w:val="20"/>
              </w:rPr>
            </w:pPr>
            <w:r w:rsidRPr="00D05366">
              <w:rPr>
                <w:rFonts w:cs="Arial"/>
                <w:b/>
                <w:bCs/>
                <w:sz w:val="20"/>
                <w:szCs w:val="20"/>
              </w:rPr>
              <w:t>FECHA</w:t>
            </w:r>
          </w:p>
        </w:tc>
        <w:tc>
          <w:tcPr>
            <w:tcW w:w="1341" w:type="dxa"/>
            <w:vAlign w:val="center"/>
          </w:tcPr>
          <w:p w14:paraId="04515095" w14:textId="27107873" w:rsidR="00384F74" w:rsidRPr="00D05366" w:rsidRDefault="44E4A2A3" w:rsidP="5ACAFE6A">
            <w:pPr>
              <w:pStyle w:val="Encabezado"/>
              <w:spacing w:before="0"/>
              <w:jc w:val="center"/>
              <w:rPr>
                <w:rFonts w:cs="Arial"/>
                <w:sz w:val="20"/>
                <w:szCs w:val="20"/>
              </w:rPr>
            </w:pPr>
            <w:r w:rsidRPr="5ACAFE6A">
              <w:rPr>
                <w:rFonts w:cs="Arial"/>
                <w:sz w:val="20"/>
                <w:szCs w:val="20"/>
              </w:rPr>
              <w:t>31</w:t>
            </w:r>
            <w:r w:rsidR="00DF2ADA" w:rsidRPr="5ACAFE6A">
              <w:rPr>
                <w:rFonts w:cs="Arial"/>
                <w:sz w:val="20"/>
                <w:szCs w:val="20"/>
              </w:rPr>
              <w:t>/0</w:t>
            </w:r>
            <w:r w:rsidR="10BBC1BB" w:rsidRPr="5ACAFE6A">
              <w:rPr>
                <w:rFonts w:cs="Arial"/>
                <w:sz w:val="20"/>
                <w:szCs w:val="20"/>
              </w:rPr>
              <w:t>3</w:t>
            </w:r>
            <w:r w:rsidR="00DF2ADA" w:rsidRPr="5ACAFE6A">
              <w:rPr>
                <w:rFonts w:cs="Arial"/>
                <w:sz w:val="20"/>
                <w:szCs w:val="20"/>
              </w:rPr>
              <w:t>/2026</w:t>
            </w:r>
          </w:p>
        </w:tc>
      </w:tr>
    </w:tbl>
    <w:p w14:paraId="744D41B8" w14:textId="77777777" w:rsidR="004B41ED" w:rsidRPr="004B41ED" w:rsidRDefault="004B41ED" w:rsidP="004B41ED">
      <w:pPr>
        <w:pStyle w:val="Ttulo1"/>
        <w:spacing w:before="0" w:after="0" w:line="360" w:lineRule="auto"/>
        <w:rPr>
          <w:sz w:val="16"/>
          <w:szCs w:val="16"/>
        </w:rPr>
      </w:pPr>
      <w:bookmarkStart w:id="0" w:name="_Toc203926880"/>
    </w:p>
    <w:p w14:paraId="005F54EC" w14:textId="5A8FD87B" w:rsidR="004B41ED" w:rsidRDefault="004B41ED" w:rsidP="008A6722">
      <w:pPr>
        <w:pStyle w:val="Ttulo1"/>
        <w:numPr>
          <w:ilvl w:val="0"/>
          <w:numId w:val="26"/>
        </w:numPr>
        <w:spacing w:before="0" w:after="0" w:line="360" w:lineRule="auto"/>
        <w:rPr>
          <w:rFonts w:eastAsia="Arial" w:cs="Arial"/>
        </w:rPr>
      </w:pPr>
      <w:r w:rsidRPr="0033704E">
        <w:t>ANTECEDENTES Y CONTEXTO</w:t>
      </w:r>
      <w:bookmarkEnd w:id="0"/>
    </w:p>
    <w:p w14:paraId="16CCC96A" w14:textId="77777777" w:rsidR="00480FBC" w:rsidRDefault="00480FBC" w:rsidP="3A4260EA">
      <w:pPr>
        <w:spacing w:before="0" w:after="0"/>
        <w:jc w:val="both"/>
        <w:rPr>
          <w:rFonts w:eastAsia="Arial" w:cs="Arial"/>
          <w:color w:val="808080" w:themeColor="background1" w:themeShade="80"/>
          <w:szCs w:val="24"/>
        </w:rPr>
      </w:pPr>
    </w:p>
    <w:p w14:paraId="2240C1D5" w14:textId="1093F28D"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El parágrafo 2° del artículo 233 de la Ley 100 de 1993 y el artículo 68 de la Ley 1753 de 2015, establecen que el procedimiento administrativo de la Superintendencia Nacional de Salud para la adopción de la toma de posesión y las medidas especiales será el mismo que consagran las disposiciones legales para la Superintendencia Financiera que se encuentra contenido, principalmente, en el Decreto-Ley 663 de 1993 (Estatuto Orgánico del Sistema Financiero) y en el Decreto 2555 de 2010, en lo que resulte pertinente.</w:t>
      </w:r>
    </w:p>
    <w:p w14:paraId="21B2FD2F" w14:textId="6B2EE827" w:rsidR="004B41ED" w:rsidRPr="00AC56B9" w:rsidRDefault="004B41ED" w:rsidP="3A4260EA">
      <w:pPr>
        <w:spacing w:before="0" w:after="0"/>
        <w:jc w:val="both"/>
        <w:rPr>
          <w:rFonts w:eastAsia="Arial" w:cs="Arial"/>
          <w:color w:val="808080" w:themeColor="background1" w:themeShade="80"/>
          <w:szCs w:val="24"/>
        </w:rPr>
      </w:pPr>
    </w:p>
    <w:p w14:paraId="37EEAE2F" w14:textId="3336E652"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A su vez, de acuerdo con lo establecido en el numeral 5 del artículo 291 y artículos 295 y 296 del Decreto 663 de 1993 y la Resolución 002599 de 2016, así como del Decreto 1080 de 2021 corresponde al Superintendente Nacional de Salud, en el marco de las medidas preventivas y de toma de posesión e intervención forzosa administrativa (para liquidar o administrar), la designación de agentes especiales interventores, liquidadores y contralores.</w:t>
      </w:r>
    </w:p>
    <w:p w14:paraId="37DE5115" w14:textId="33026910" w:rsidR="004B41ED" w:rsidRPr="00AC56B9" w:rsidRDefault="004B41ED" w:rsidP="3A4260EA">
      <w:pPr>
        <w:spacing w:before="0" w:after="0"/>
        <w:jc w:val="both"/>
        <w:rPr>
          <w:rFonts w:eastAsia="Arial" w:cs="Arial"/>
          <w:color w:val="808080" w:themeColor="background1" w:themeShade="80"/>
          <w:szCs w:val="24"/>
        </w:rPr>
      </w:pPr>
    </w:p>
    <w:p w14:paraId="26CC2411" w14:textId="01060797"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Por ende, a través de la Resolución 002599 del 06 de septiembre de 2016</w:t>
      </w:r>
      <w:r w:rsidRPr="3A4260EA">
        <w:rPr>
          <w:rFonts w:eastAsia="Arial" w:cs="Arial"/>
          <w:color w:val="808080" w:themeColor="background1" w:themeShade="80"/>
          <w:szCs w:val="24"/>
          <w:vertAlign w:val="superscript"/>
        </w:rPr>
        <w:t>1</w:t>
      </w:r>
      <w:r w:rsidRPr="3A4260EA">
        <w:rPr>
          <w:rFonts w:eastAsia="Arial" w:cs="Arial"/>
          <w:color w:val="808080" w:themeColor="background1" w:themeShade="80"/>
          <w:szCs w:val="24"/>
        </w:rPr>
        <w:t>, la Superintendencia Nacional de Salud adoptó las reglas relacionadas con la inscripción, designación, fijación de honorarios, posesión, funciones, obligaciones, seguimiento, sanciones, reemplazo y otros asuntos de los agentes interventores, liquidadores y contralores de las entidades objeto de medidas especiales de toma de posesión e intervención forzosa administrativa y las medidas especiales previstas en el artículo 68 de la Ley 1753 de 2015.</w:t>
      </w:r>
    </w:p>
    <w:p w14:paraId="2250D016" w14:textId="77DEAA05" w:rsidR="004B41ED" w:rsidRPr="00AC56B9" w:rsidRDefault="004B41ED" w:rsidP="3A4260EA">
      <w:pPr>
        <w:spacing w:before="0" w:after="0"/>
        <w:jc w:val="both"/>
        <w:rPr>
          <w:rFonts w:eastAsia="Arial" w:cs="Arial"/>
          <w:color w:val="808080" w:themeColor="background1" w:themeShade="80"/>
          <w:szCs w:val="24"/>
        </w:rPr>
      </w:pPr>
    </w:p>
    <w:p w14:paraId="5FD3F4F2" w14:textId="4EF063F0"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lastRenderedPageBreak/>
        <w:t>Ahora bien, de conformidad con las funciones atribuidas por el Decreto 1080 de 2021, corresponde a la Oficina de Liquidaciones, la Superintendencia Delegada para Entidades de Aseguramiento en Salud, la Superintendencia Delegada para Prestadores de Servicios de Salud y a la Superintendencia Delegada para Entidades Territoriales y Generadores, Recaudadores y Administradores de Recursos del Sistema General de Seguridad Social en Salud, conceptuar ante el Despacho del Superintendente Nacional de Salud, de acuerdo con su competencia y de manera previa a su designación, sobre el cumplimiento de requisitos de los liquidadores y contralores de las entidades en proceso de liquidación forzosa; interventores y contralores de las Entidades Promotoras de Salud, las entidades adaptadas y prestadores de servicios de salud, incluyendo en estas últimas a los promotores y emitir concepto en lo atinente a los agentes especiales de los monopolios rentísticos cedidos al sector salud y de las secretarias de salud o la entidad que haga sus veces; así como respecto de los honorarios que percibirán los mismos, de conformidad con la metodología definida por la Superintendencia Nacional de Salud y lo establecido en las disposiciones normativas que regulan la materia.</w:t>
      </w:r>
    </w:p>
    <w:p w14:paraId="7B1760C9" w14:textId="3C83A755" w:rsidR="004B41ED" w:rsidRPr="00AC56B9" w:rsidRDefault="004B41ED" w:rsidP="3A4260EA">
      <w:pPr>
        <w:spacing w:before="0" w:after="0"/>
        <w:jc w:val="both"/>
        <w:rPr>
          <w:rFonts w:eastAsia="Arial" w:cs="Arial"/>
          <w:color w:val="808080" w:themeColor="background1" w:themeShade="80"/>
          <w:szCs w:val="24"/>
        </w:rPr>
      </w:pPr>
    </w:p>
    <w:p w14:paraId="6A1ED19D" w14:textId="14A62464"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A la par, de acuerdo con los numerales 7 y 11 del artículo 7 de la norma citada, el Superintendente Nacional de Salud tiene como funciones las relativas a “</w:t>
      </w:r>
      <w:r w:rsidRPr="3A4260EA">
        <w:rPr>
          <w:rFonts w:eastAsia="Arial" w:cs="Arial"/>
          <w:i/>
          <w:iCs/>
          <w:color w:val="808080" w:themeColor="background1" w:themeShade="80"/>
          <w:szCs w:val="24"/>
        </w:rPr>
        <w:t xml:space="preserve">7. Ordenar la toma de posesión, los procesos de intervención forzosa administrativa para administrar o liquidar y otras medidas especiales a las entidades promotoras de salud, las entidades adaptadas, los prestadores de servicios de salud de cualquier naturaleza, y monopolios rentísticos cedidos al sector salud no asignados a otra Entidad, así como intervenir técnica y administrativamente a las secretarías departamentales, distritales y municipales de salud o las entidades que hagan sus </w:t>
      </w:r>
      <w:r w:rsidRPr="3A4260EA">
        <w:rPr>
          <w:rFonts w:eastAsia="Arial" w:cs="Arial"/>
          <w:i/>
          <w:iCs/>
          <w:color w:val="808080" w:themeColor="background1" w:themeShade="80"/>
          <w:szCs w:val="24"/>
        </w:rPr>
        <w:lastRenderedPageBreak/>
        <w:t>veces</w:t>
      </w:r>
      <w:r w:rsidRPr="3A4260EA">
        <w:rPr>
          <w:rFonts w:eastAsia="Arial" w:cs="Arial"/>
          <w:color w:val="808080" w:themeColor="background1" w:themeShade="80"/>
          <w:szCs w:val="24"/>
        </w:rPr>
        <w:t xml:space="preserve">” y “11. </w:t>
      </w:r>
      <w:r w:rsidRPr="3A4260EA">
        <w:rPr>
          <w:rFonts w:eastAsia="Arial" w:cs="Arial"/>
          <w:i/>
          <w:iCs/>
          <w:color w:val="808080" w:themeColor="background1" w:themeShade="80"/>
          <w:szCs w:val="24"/>
        </w:rPr>
        <w:t>Fijar los honorarios que percibirán los interventores, liquidadores, contralores o promotores por la labor a desarrollar</w:t>
      </w:r>
      <w:r w:rsidRPr="3A4260EA">
        <w:rPr>
          <w:rFonts w:eastAsia="Arial" w:cs="Arial"/>
          <w:color w:val="808080" w:themeColor="background1" w:themeShade="80"/>
          <w:szCs w:val="24"/>
        </w:rPr>
        <w:t>”.</w:t>
      </w:r>
    </w:p>
    <w:p w14:paraId="675218FA" w14:textId="75BAED65" w:rsidR="004B41ED" w:rsidRPr="00AC56B9" w:rsidRDefault="004B41ED" w:rsidP="3A4260EA">
      <w:pPr>
        <w:spacing w:before="0" w:after="0"/>
        <w:jc w:val="both"/>
        <w:rPr>
          <w:rFonts w:eastAsia="Arial" w:cs="Arial"/>
          <w:color w:val="808080" w:themeColor="background1" w:themeShade="80"/>
          <w:szCs w:val="24"/>
        </w:rPr>
      </w:pPr>
    </w:p>
    <w:p w14:paraId="1D870315" w14:textId="3E427227"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Los procedimientos administrativos relacionados con las medidas de toma de posesión e intervención forzosa administrativa, de conformidad con lo establecido en el Estatuto Orgánico del Sistema Financiero, incluyen la designación de agentes interventores, liquidadores y contralores, quienes tienen funciones especiales respecto de las instituciones objeto de medidas especiales.</w:t>
      </w:r>
    </w:p>
    <w:p w14:paraId="0B976A1B" w14:textId="08EE3562" w:rsidR="004B41ED" w:rsidRPr="00AC56B9" w:rsidRDefault="004B41ED" w:rsidP="3A4260EA">
      <w:pPr>
        <w:spacing w:before="0" w:after="0"/>
        <w:jc w:val="both"/>
        <w:rPr>
          <w:rFonts w:eastAsia="Arial" w:cs="Arial"/>
          <w:color w:val="808080" w:themeColor="background1" w:themeShade="80"/>
          <w:szCs w:val="24"/>
        </w:rPr>
      </w:pPr>
    </w:p>
    <w:p w14:paraId="474D1E6A" w14:textId="62F6EFF9"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Por ende, corresponde a la Superintendencia Nacional de Salud la designación de promotores, en los términos de la Ley 550 de 1999 y, en virtud de lo dispuesto por el artículo 68 de la Ley 1753 de 2015, la orden o autorización a las entidades vigiladas, de la adopción individual o conjunta de las medidas especiales de que trata el Estatuto Orgánico del Sistema Financiero, con el fin de salvaguardar la prestación del servicio público de salud y la adecuada gestión financiera de los recursos del Sistema General de Seguridad Social en Salud.</w:t>
      </w:r>
    </w:p>
    <w:p w14:paraId="64A15AD1" w14:textId="22346578" w:rsidR="004B41ED" w:rsidRPr="00AC56B9" w:rsidRDefault="004B41ED" w:rsidP="3A4260EA">
      <w:pPr>
        <w:spacing w:before="0" w:after="0"/>
        <w:jc w:val="both"/>
        <w:rPr>
          <w:rFonts w:eastAsia="Arial" w:cs="Arial"/>
          <w:color w:val="808080" w:themeColor="background1" w:themeShade="80"/>
          <w:szCs w:val="24"/>
        </w:rPr>
      </w:pPr>
    </w:p>
    <w:p w14:paraId="74C2C58A" w14:textId="21AD52C6"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 xml:space="preserve">Así las cosas, en cumplimiento de los principios de la función administrativa de publicidad y transparencia, en los casos de adopción de medidas especiales, preventivas o de toma de posesión en que se decida la intervención forzosa administrativa para administrar o liquidar entidades vigiladas y atendiendo al carácter extraordinario del mecanismo excepcional y a las condiciones en que opera la medida de intervención forzosa administrativa para administrar, cuyo objeto es subsanar las causales que dieron origen a la intervención y restablecer las condiciones necesarias para que la entidad intervenida pueda desarrollar su objeto social, se estima necesario ampliar el sector de experiencia del agente interventor para incluir los ámbitos comercial y financiero, en atención a la relevancia que </w:t>
      </w:r>
      <w:r w:rsidRPr="3A4260EA">
        <w:rPr>
          <w:rFonts w:eastAsia="Arial" w:cs="Arial"/>
          <w:color w:val="808080" w:themeColor="background1" w:themeShade="80"/>
          <w:szCs w:val="24"/>
        </w:rPr>
        <w:lastRenderedPageBreak/>
        <w:t>dichos conocimientos pueden tener en el proceso de recuperación y salvamento de la entidad intervenida.</w:t>
      </w:r>
    </w:p>
    <w:p w14:paraId="006E1ADB" w14:textId="17B90864" w:rsidR="004B41ED" w:rsidRPr="00AC56B9" w:rsidRDefault="004B41ED" w:rsidP="3A4260EA">
      <w:pPr>
        <w:spacing w:before="0" w:after="0"/>
        <w:jc w:val="both"/>
        <w:rPr>
          <w:rFonts w:eastAsia="Arial" w:cs="Arial"/>
          <w:color w:val="808080" w:themeColor="background1" w:themeShade="80"/>
          <w:szCs w:val="24"/>
        </w:rPr>
      </w:pPr>
    </w:p>
    <w:p w14:paraId="16941573" w14:textId="1D1B319A"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 xml:space="preserve">Aunado a lo anterior, en la revisión del acto administrativo se evidenció una contradicción entre la cita del artículo 2.5.5.1.5 del Decreto 780 de 2016 en el inciso primero y final del parágrafo 1 del </w:t>
      </w:r>
      <w:r w:rsidR="00591E4E" w:rsidRPr="3A4260EA">
        <w:rPr>
          <w:rFonts w:eastAsia="Arial" w:cs="Arial"/>
          <w:color w:val="808080" w:themeColor="background1" w:themeShade="80"/>
          <w:szCs w:val="24"/>
        </w:rPr>
        <w:t>artículo</w:t>
      </w:r>
      <w:r w:rsidRPr="3A4260EA">
        <w:rPr>
          <w:rFonts w:eastAsia="Arial" w:cs="Arial"/>
          <w:color w:val="808080" w:themeColor="background1" w:themeShade="80"/>
          <w:szCs w:val="24"/>
        </w:rPr>
        <w:t xml:space="preserve"> 15 de la resolución.  </w:t>
      </w:r>
    </w:p>
    <w:p w14:paraId="4CCAF640" w14:textId="266D3493" w:rsidR="004B41ED" w:rsidRPr="00AC56B9" w:rsidRDefault="004B41ED" w:rsidP="3A4260EA">
      <w:pPr>
        <w:spacing w:before="0" w:after="0"/>
        <w:jc w:val="both"/>
        <w:rPr>
          <w:rFonts w:eastAsia="Arial" w:cs="Arial"/>
          <w:color w:val="808080" w:themeColor="background1" w:themeShade="80"/>
          <w:szCs w:val="24"/>
        </w:rPr>
      </w:pPr>
    </w:p>
    <w:p w14:paraId="0F7E1657" w14:textId="32A86F39" w:rsidR="004B41ED" w:rsidRPr="00AC56B9" w:rsidRDefault="2BCD7141" w:rsidP="3A4260EA">
      <w:pPr>
        <w:spacing w:before="0" w:after="0"/>
        <w:jc w:val="both"/>
        <w:rPr>
          <w:rFonts w:eastAsia="Arial" w:cs="Arial"/>
          <w:color w:val="808080" w:themeColor="background1" w:themeShade="80"/>
          <w:szCs w:val="24"/>
        </w:rPr>
      </w:pPr>
      <w:r w:rsidRPr="3A4260EA">
        <w:rPr>
          <w:rFonts w:eastAsia="Arial" w:cs="Arial"/>
          <w:color w:val="808080" w:themeColor="background1" w:themeShade="80"/>
          <w:szCs w:val="24"/>
        </w:rPr>
        <w:t>En aras de efectivizar los principios de celeridad, eficacia y economía propios de la función y procedimientos administrativos, es menester modificar el artículo 15 de la Resolución 002599 de 2016, con el fin de ajustar los requisitos para la escogencia de los agentes interventores, liquidadores y contralores; así como dar claridad respecto a la excepción atinente a los requisitos del artículo </w:t>
      </w:r>
      <w:hyperlink r:id="rId13" w:anchor="2.5.5.1.5">
        <w:r w:rsidRPr="3A4260EA">
          <w:rPr>
            <w:rStyle w:val="Hipervnculo"/>
            <w:rFonts w:eastAsia="Arial" w:cs="Arial"/>
            <w:color w:val="808080" w:themeColor="background1" w:themeShade="80"/>
            <w:szCs w:val="24"/>
          </w:rPr>
          <w:t>2.5.5.1.5</w:t>
        </w:r>
      </w:hyperlink>
      <w:r w:rsidRPr="3A4260EA">
        <w:rPr>
          <w:rFonts w:eastAsia="Arial" w:cs="Arial"/>
          <w:color w:val="808080" w:themeColor="background1" w:themeShade="80"/>
          <w:szCs w:val="24"/>
        </w:rPr>
        <w:t> del Decreto número 780 de 2016.</w:t>
      </w:r>
    </w:p>
    <w:p w14:paraId="7344C8F0" w14:textId="761280DA" w:rsidR="004B41ED" w:rsidRPr="00AC56B9" w:rsidRDefault="004B41ED" w:rsidP="3A4260EA">
      <w:pPr>
        <w:spacing w:before="0" w:after="0"/>
        <w:jc w:val="both"/>
        <w:rPr>
          <w:rFonts w:eastAsia="Arial" w:cs="Arial"/>
          <w:color w:val="808080" w:themeColor="background1" w:themeShade="80"/>
        </w:rPr>
      </w:pPr>
    </w:p>
    <w:tbl>
      <w:tblPr>
        <w:tblStyle w:val="Tablaconcuadrcula"/>
        <w:tblW w:w="9031" w:type="dxa"/>
        <w:tblInd w:w="-5" w:type="dxa"/>
        <w:tblLook w:val="04A0" w:firstRow="1" w:lastRow="0" w:firstColumn="1" w:lastColumn="0" w:noHBand="0" w:noVBand="1"/>
      </w:tblPr>
      <w:tblGrid>
        <w:gridCol w:w="2835"/>
        <w:gridCol w:w="6196"/>
      </w:tblGrid>
      <w:tr w:rsidR="004B41ED" w:rsidRPr="00C06D51" w14:paraId="7F17E256" w14:textId="77777777" w:rsidTr="3A4260EA">
        <w:trPr>
          <w:trHeight w:val="373"/>
          <w:tblHeader/>
        </w:trPr>
        <w:tc>
          <w:tcPr>
            <w:tcW w:w="2835" w:type="dxa"/>
            <w:shd w:val="clear" w:color="auto" w:fill="32B4A8"/>
            <w:vAlign w:val="center"/>
          </w:tcPr>
          <w:p w14:paraId="30DD9893" w14:textId="77777777" w:rsidR="004B41ED" w:rsidRPr="004B41ED" w:rsidRDefault="71F6811A" w:rsidP="3A4260EA">
            <w:pPr>
              <w:spacing w:before="0" w:after="0"/>
              <w:jc w:val="both"/>
              <w:rPr>
                <w:rFonts w:eastAsia="Arial" w:cs="Arial"/>
                <w:b/>
                <w:bCs/>
                <w:sz w:val="20"/>
                <w:szCs w:val="20"/>
              </w:rPr>
            </w:pPr>
            <w:r w:rsidRPr="3A4260EA">
              <w:rPr>
                <w:rFonts w:eastAsia="Arial" w:cs="Arial"/>
                <w:b/>
                <w:bCs/>
                <w:sz w:val="20"/>
                <w:szCs w:val="20"/>
              </w:rPr>
              <w:t xml:space="preserve">CAMPO </w:t>
            </w:r>
          </w:p>
        </w:tc>
        <w:tc>
          <w:tcPr>
            <w:tcW w:w="6196" w:type="dxa"/>
            <w:shd w:val="clear" w:color="auto" w:fill="32B4A8"/>
            <w:vAlign w:val="center"/>
          </w:tcPr>
          <w:p w14:paraId="4032FCC5" w14:textId="77777777" w:rsidR="004B41ED" w:rsidRPr="004B41ED" w:rsidRDefault="71F6811A" w:rsidP="3A4260EA">
            <w:pPr>
              <w:spacing w:before="0" w:after="0"/>
              <w:jc w:val="both"/>
              <w:rPr>
                <w:rFonts w:eastAsia="Arial" w:cs="Arial"/>
                <w:b/>
                <w:bCs/>
                <w:sz w:val="20"/>
                <w:szCs w:val="20"/>
              </w:rPr>
            </w:pPr>
            <w:r w:rsidRPr="3A4260EA">
              <w:rPr>
                <w:rFonts w:eastAsia="Arial" w:cs="Arial"/>
                <w:b/>
                <w:bCs/>
                <w:sz w:val="20"/>
                <w:szCs w:val="20"/>
              </w:rPr>
              <w:t>DESCRIPCIÓN</w:t>
            </w:r>
          </w:p>
        </w:tc>
      </w:tr>
      <w:tr w:rsidR="004B41ED" w:rsidRPr="00C06D51" w14:paraId="59370BF7" w14:textId="77777777" w:rsidTr="3A4260EA">
        <w:trPr>
          <w:trHeight w:val="390"/>
        </w:trPr>
        <w:tc>
          <w:tcPr>
            <w:tcW w:w="2835" w:type="dxa"/>
            <w:vAlign w:val="center"/>
          </w:tcPr>
          <w:p w14:paraId="5252F61A" w14:textId="77777777" w:rsidR="004B41ED" w:rsidRPr="004B41ED" w:rsidRDefault="004B41ED" w:rsidP="00AC56B9">
            <w:pPr>
              <w:spacing w:before="0" w:after="0"/>
              <w:rPr>
                <w:rFonts w:eastAsia="Arial" w:cs="Arial"/>
                <w:sz w:val="22"/>
              </w:rPr>
            </w:pPr>
            <w:r w:rsidRPr="004B41ED">
              <w:rPr>
                <w:rFonts w:eastAsia="Arial" w:cs="Arial"/>
                <w:sz w:val="22"/>
              </w:rPr>
              <w:t xml:space="preserve">Nombre de la entidad </w:t>
            </w:r>
          </w:p>
        </w:tc>
        <w:tc>
          <w:tcPr>
            <w:tcW w:w="6196" w:type="dxa"/>
            <w:vAlign w:val="center"/>
          </w:tcPr>
          <w:p w14:paraId="53B81CD5" w14:textId="7D0DCA79" w:rsidR="004B41ED" w:rsidRPr="004B41ED" w:rsidRDefault="48DDEFF1" w:rsidP="193187C3">
            <w:pPr>
              <w:spacing w:before="0" w:after="0"/>
              <w:rPr>
                <w:rFonts w:eastAsia="Arial" w:cs="Arial"/>
                <w:i/>
                <w:iCs/>
                <w:color w:val="808080" w:themeColor="background1" w:themeShade="80"/>
                <w:sz w:val="22"/>
              </w:rPr>
            </w:pPr>
            <w:r w:rsidRPr="193187C3">
              <w:rPr>
                <w:rFonts w:eastAsia="Arial" w:cs="Arial"/>
                <w:i/>
                <w:iCs/>
                <w:color w:val="808080" w:themeColor="background1" w:themeShade="80"/>
                <w:sz w:val="22"/>
              </w:rPr>
              <w:t>Superintendencia Nacional de Salud</w:t>
            </w:r>
          </w:p>
        </w:tc>
      </w:tr>
      <w:tr w:rsidR="004B41ED" w:rsidRPr="00C06D51" w14:paraId="0B478A16" w14:textId="77777777" w:rsidTr="3A4260EA">
        <w:trPr>
          <w:trHeight w:val="373"/>
        </w:trPr>
        <w:tc>
          <w:tcPr>
            <w:tcW w:w="2835" w:type="dxa"/>
            <w:vAlign w:val="center"/>
          </w:tcPr>
          <w:p w14:paraId="2FD2F4D9" w14:textId="77777777" w:rsidR="004B41ED" w:rsidRPr="004B41ED" w:rsidRDefault="004B41ED" w:rsidP="00AC56B9">
            <w:pPr>
              <w:spacing w:before="0" w:after="0"/>
              <w:rPr>
                <w:rFonts w:eastAsia="Arial" w:cs="Arial"/>
                <w:sz w:val="22"/>
              </w:rPr>
            </w:pPr>
            <w:r w:rsidRPr="004B41ED">
              <w:rPr>
                <w:rFonts w:eastAsia="Arial" w:cs="Arial"/>
                <w:sz w:val="22"/>
              </w:rPr>
              <w:t>¿El proyecto normativo corresponde a la modificación de una resolución o circular externa existente?</w:t>
            </w:r>
          </w:p>
        </w:tc>
        <w:tc>
          <w:tcPr>
            <w:tcW w:w="6196" w:type="dxa"/>
            <w:vAlign w:val="center"/>
          </w:tcPr>
          <w:p w14:paraId="2B4889B1" w14:textId="329E0883" w:rsidR="004B41ED" w:rsidRPr="004B41ED" w:rsidRDefault="267DD3AA" w:rsidP="193187C3">
            <w:pPr>
              <w:spacing w:before="0" w:after="0"/>
              <w:rPr>
                <w:rFonts w:eastAsia="Arial" w:cs="Arial"/>
                <w:i/>
                <w:iCs/>
                <w:color w:val="808080" w:themeColor="background1" w:themeShade="80"/>
                <w:sz w:val="22"/>
              </w:rPr>
            </w:pPr>
            <w:r w:rsidRPr="193187C3">
              <w:rPr>
                <w:rFonts w:eastAsia="Arial" w:cs="Arial"/>
                <w:i/>
                <w:iCs/>
                <w:color w:val="808080" w:themeColor="background1" w:themeShade="80"/>
                <w:sz w:val="22"/>
              </w:rPr>
              <w:t>Proyecto de resolución por la cual se modifica parcialmente la Resolución 2599 de 2016, en lo relacionado con el parágrafo 1</w:t>
            </w:r>
            <w:r w:rsidR="006A590A">
              <w:rPr>
                <w:rFonts w:eastAsia="Arial" w:cs="Arial"/>
                <w:i/>
                <w:iCs/>
                <w:color w:val="808080" w:themeColor="background1" w:themeShade="80"/>
                <w:sz w:val="22"/>
              </w:rPr>
              <w:t xml:space="preserve"> del</w:t>
            </w:r>
            <w:r w:rsidRPr="193187C3">
              <w:rPr>
                <w:rFonts w:eastAsia="Arial" w:cs="Arial"/>
                <w:i/>
                <w:iCs/>
                <w:color w:val="808080" w:themeColor="background1" w:themeShade="80"/>
                <w:sz w:val="22"/>
              </w:rPr>
              <w:t xml:space="preserve"> artículo 15 </w:t>
            </w:r>
          </w:p>
          <w:p w14:paraId="4B07F4CF" w14:textId="1F77DADE" w:rsidR="004B41ED" w:rsidRPr="004B41ED" w:rsidRDefault="004B41ED" w:rsidP="193187C3">
            <w:pPr>
              <w:spacing w:before="0" w:after="0"/>
              <w:rPr>
                <w:rFonts w:eastAsia="Arial" w:cs="Arial"/>
                <w:i/>
                <w:iCs/>
                <w:color w:val="808080" w:themeColor="background1" w:themeShade="80"/>
                <w:sz w:val="22"/>
              </w:rPr>
            </w:pPr>
          </w:p>
        </w:tc>
      </w:tr>
      <w:tr w:rsidR="004B41ED" w:rsidRPr="00C06D51" w14:paraId="1C360DDC" w14:textId="77777777" w:rsidTr="3A4260EA">
        <w:trPr>
          <w:trHeight w:val="373"/>
        </w:trPr>
        <w:tc>
          <w:tcPr>
            <w:tcW w:w="2835" w:type="dxa"/>
            <w:vAlign w:val="center"/>
          </w:tcPr>
          <w:p w14:paraId="52891C26" w14:textId="77777777" w:rsidR="004B41ED" w:rsidRPr="004B41ED" w:rsidRDefault="004B41ED" w:rsidP="00AC56B9">
            <w:pPr>
              <w:spacing w:before="0" w:after="0"/>
              <w:rPr>
                <w:rFonts w:eastAsia="Arial" w:cs="Arial"/>
                <w:sz w:val="22"/>
              </w:rPr>
            </w:pPr>
            <w:r w:rsidRPr="004B41ED">
              <w:rPr>
                <w:rFonts w:eastAsia="Arial" w:cs="Arial"/>
                <w:sz w:val="22"/>
              </w:rPr>
              <w:t>Nombre de la norma que va a modificar</w:t>
            </w:r>
          </w:p>
        </w:tc>
        <w:tc>
          <w:tcPr>
            <w:tcW w:w="6196" w:type="dxa"/>
            <w:vAlign w:val="center"/>
          </w:tcPr>
          <w:p w14:paraId="7109B372" w14:textId="2FF726A7" w:rsidR="004B41ED" w:rsidRPr="004B41ED" w:rsidRDefault="0350D3FF" w:rsidP="193187C3">
            <w:pPr>
              <w:spacing w:before="0" w:after="0"/>
              <w:rPr>
                <w:rFonts w:eastAsia="Arial" w:cs="Arial"/>
                <w:i/>
                <w:iCs/>
                <w:color w:val="808080" w:themeColor="background1" w:themeShade="80"/>
                <w:sz w:val="22"/>
              </w:rPr>
            </w:pPr>
            <w:r w:rsidRPr="193187C3">
              <w:rPr>
                <w:rFonts w:eastAsia="Arial" w:cs="Arial"/>
                <w:i/>
                <w:iCs/>
                <w:color w:val="808080" w:themeColor="background1" w:themeShade="80"/>
                <w:sz w:val="22"/>
              </w:rPr>
              <w:t>Resolución 2599 de 2016, en lo relacionado con el parágrafo 1</w:t>
            </w:r>
            <w:r w:rsidR="006A590A">
              <w:rPr>
                <w:rFonts w:eastAsia="Arial" w:cs="Arial"/>
                <w:i/>
                <w:iCs/>
                <w:color w:val="808080" w:themeColor="background1" w:themeShade="80"/>
                <w:sz w:val="22"/>
              </w:rPr>
              <w:t xml:space="preserve"> del</w:t>
            </w:r>
            <w:r w:rsidRPr="193187C3">
              <w:rPr>
                <w:rFonts w:eastAsia="Arial" w:cs="Arial"/>
                <w:i/>
                <w:iCs/>
                <w:color w:val="808080" w:themeColor="background1" w:themeShade="80"/>
                <w:sz w:val="22"/>
              </w:rPr>
              <w:t xml:space="preserve"> artículo 15</w:t>
            </w:r>
          </w:p>
        </w:tc>
      </w:tr>
      <w:tr w:rsidR="004B41ED" w:rsidRPr="00C06D51" w14:paraId="7AA45685" w14:textId="77777777" w:rsidTr="3A4260EA">
        <w:trPr>
          <w:trHeight w:val="373"/>
        </w:trPr>
        <w:tc>
          <w:tcPr>
            <w:tcW w:w="2835" w:type="dxa"/>
            <w:vAlign w:val="center"/>
          </w:tcPr>
          <w:p w14:paraId="60BE64B2" w14:textId="77777777" w:rsidR="004B41ED" w:rsidRPr="004B41ED" w:rsidRDefault="004B41ED" w:rsidP="00AC56B9">
            <w:pPr>
              <w:spacing w:before="0" w:after="0"/>
              <w:rPr>
                <w:rFonts w:eastAsia="Arial" w:cs="Arial"/>
                <w:sz w:val="22"/>
              </w:rPr>
            </w:pPr>
            <w:r w:rsidRPr="004B41ED">
              <w:rPr>
                <w:rFonts w:eastAsia="Arial" w:cs="Arial"/>
                <w:sz w:val="22"/>
              </w:rPr>
              <w:t>¿La norma que va a modificar es un reglamento técnico?</w:t>
            </w:r>
          </w:p>
        </w:tc>
        <w:tc>
          <w:tcPr>
            <w:tcW w:w="6196" w:type="dxa"/>
            <w:vAlign w:val="center"/>
          </w:tcPr>
          <w:p w14:paraId="0329EE37" w14:textId="4CF20B53" w:rsidR="004B41ED" w:rsidRPr="004B41ED" w:rsidRDefault="189637DF" w:rsidP="193187C3">
            <w:pPr>
              <w:spacing w:before="0" w:after="0"/>
              <w:rPr>
                <w:rFonts w:eastAsia="Arial" w:cs="Arial"/>
                <w:i/>
                <w:iCs/>
                <w:color w:val="808080" w:themeColor="background1" w:themeShade="80"/>
                <w:sz w:val="22"/>
              </w:rPr>
            </w:pPr>
            <w:r w:rsidRPr="006A590A">
              <w:rPr>
                <w:rFonts w:eastAsia="Arial" w:cs="Arial"/>
                <w:i/>
                <w:iCs/>
                <w:color w:val="808080" w:themeColor="background1" w:themeShade="80"/>
                <w:sz w:val="22"/>
              </w:rPr>
              <w:t xml:space="preserve">La Resolución 2599 de 2016 corresponde a una regulación administrativa y funcional, y no tiene la naturaleza de reglamento técnico, por lo cual no está sujeta a los análisis, procedimientos o cargas propias de este tipo de regulación </w:t>
            </w:r>
            <w:r w:rsidRPr="006A590A">
              <w:rPr>
                <w:rFonts w:eastAsia="Arial" w:cs="Arial"/>
                <w:i/>
                <w:iCs/>
                <w:color w:val="808080" w:themeColor="background1" w:themeShade="80"/>
                <w:sz w:val="22"/>
              </w:rPr>
              <w:lastRenderedPageBreak/>
              <w:t>(como notificación internacional por OTC, análisis técnico de impacto regulatorio técnico, etc.).</w:t>
            </w:r>
          </w:p>
        </w:tc>
      </w:tr>
      <w:tr w:rsidR="004B41ED" w:rsidRPr="00C06D51" w14:paraId="06EAAD6B" w14:textId="77777777" w:rsidTr="3A4260EA">
        <w:trPr>
          <w:trHeight w:val="390"/>
        </w:trPr>
        <w:tc>
          <w:tcPr>
            <w:tcW w:w="2835" w:type="dxa"/>
            <w:vAlign w:val="center"/>
          </w:tcPr>
          <w:p w14:paraId="0D982269" w14:textId="77777777" w:rsidR="004B41ED" w:rsidRPr="004B41ED" w:rsidRDefault="004B41ED" w:rsidP="00AC56B9">
            <w:pPr>
              <w:spacing w:before="0" w:after="0"/>
              <w:rPr>
                <w:rFonts w:eastAsia="Arial" w:cs="Arial"/>
                <w:sz w:val="22"/>
              </w:rPr>
            </w:pPr>
            <w:r w:rsidRPr="004B41ED">
              <w:rPr>
                <w:rFonts w:eastAsia="Arial" w:cs="Arial"/>
                <w:sz w:val="22"/>
              </w:rPr>
              <w:lastRenderedPageBreak/>
              <w:t>¿La modificación del proyecto normativo busca que la intervención sea más fácil de cumplir para los vigilados o destinatarios?</w:t>
            </w:r>
          </w:p>
        </w:tc>
        <w:tc>
          <w:tcPr>
            <w:tcW w:w="6196" w:type="dxa"/>
            <w:vAlign w:val="center"/>
          </w:tcPr>
          <w:p w14:paraId="379915EB" w14:textId="20438260" w:rsidR="004B41ED" w:rsidRPr="004B41ED" w:rsidRDefault="00D271EC" w:rsidP="193187C3">
            <w:pPr>
              <w:spacing w:before="0" w:after="0"/>
              <w:rPr>
                <w:rFonts w:eastAsia="Arial" w:cs="Arial"/>
                <w:i/>
                <w:iCs/>
                <w:color w:val="808080" w:themeColor="background1" w:themeShade="80"/>
                <w:sz w:val="22"/>
              </w:rPr>
            </w:pPr>
            <w:r>
              <w:rPr>
                <w:rFonts w:eastAsia="Arial" w:cs="Arial"/>
                <w:i/>
                <w:iCs/>
                <w:color w:val="808080" w:themeColor="background1" w:themeShade="80"/>
                <w:sz w:val="22"/>
              </w:rPr>
              <w:t>Si, en el entendido que se encuentra encaminada a a</w:t>
            </w:r>
            <w:r w:rsidRPr="193187C3">
              <w:rPr>
                <w:rFonts w:eastAsia="Arial" w:cs="Arial"/>
                <w:i/>
                <w:iCs/>
                <w:color w:val="808080" w:themeColor="background1" w:themeShade="80"/>
              </w:rPr>
              <w:t xml:space="preserve">mpliar el alcance de los sectores de experiencia </w:t>
            </w:r>
            <w:r w:rsidR="00645AB7">
              <w:rPr>
                <w:rFonts w:eastAsia="Arial" w:cs="Arial"/>
                <w:i/>
                <w:iCs/>
                <w:color w:val="808080" w:themeColor="background1" w:themeShade="80"/>
              </w:rPr>
              <w:t>de los agentes especiales</w:t>
            </w:r>
            <w:r w:rsidRPr="193187C3">
              <w:rPr>
                <w:rFonts w:eastAsia="Arial" w:cs="Arial"/>
                <w:i/>
                <w:iCs/>
                <w:color w:val="808080" w:themeColor="background1" w:themeShade="80"/>
              </w:rPr>
              <w:t>, de manera que no se limite exclusivamente al sector salud, sino que incorpore conocimientos y competencias en los ámbitos comercial y financiero</w:t>
            </w:r>
            <w:r w:rsidR="004B41ED" w:rsidRPr="193187C3">
              <w:rPr>
                <w:rFonts w:eastAsia="Arial" w:cs="Arial"/>
                <w:i/>
                <w:iCs/>
                <w:color w:val="808080" w:themeColor="background1" w:themeShade="80"/>
                <w:sz w:val="22"/>
              </w:rPr>
              <w:t xml:space="preserve"> </w:t>
            </w:r>
          </w:p>
        </w:tc>
      </w:tr>
      <w:tr w:rsidR="004B41ED" w:rsidRPr="00C06D51" w14:paraId="7D308F1C" w14:textId="77777777" w:rsidTr="3A4260EA">
        <w:trPr>
          <w:trHeight w:val="356"/>
        </w:trPr>
        <w:tc>
          <w:tcPr>
            <w:tcW w:w="2835" w:type="dxa"/>
            <w:vAlign w:val="center"/>
          </w:tcPr>
          <w:p w14:paraId="740B9B90" w14:textId="77777777" w:rsidR="004B41ED" w:rsidRPr="004B41ED" w:rsidRDefault="004B41ED" w:rsidP="00AC56B9">
            <w:pPr>
              <w:spacing w:before="0" w:after="0"/>
              <w:rPr>
                <w:rFonts w:eastAsia="Arial" w:cs="Arial"/>
                <w:sz w:val="22"/>
              </w:rPr>
            </w:pPr>
            <w:r w:rsidRPr="004B41ED">
              <w:rPr>
                <w:rFonts w:eastAsia="Arial" w:cs="Arial"/>
                <w:sz w:val="22"/>
              </w:rPr>
              <w:t>Contexto [1 página como máximo]</w:t>
            </w:r>
          </w:p>
        </w:tc>
        <w:tc>
          <w:tcPr>
            <w:tcW w:w="6196" w:type="dxa"/>
            <w:vAlign w:val="center"/>
          </w:tcPr>
          <w:p w14:paraId="6B6AD9C0" w14:textId="28C765EE" w:rsidR="004B41ED" w:rsidRPr="004B41ED" w:rsidRDefault="004F7E26" w:rsidP="00AC56B9">
            <w:pPr>
              <w:spacing w:before="0" w:after="0"/>
              <w:rPr>
                <w:rFonts w:eastAsia="Arial" w:cs="Arial"/>
                <w:i/>
                <w:iCs/>
                <w:color w:val="808080" w:themeColor="background1" w:themeShade="80"/>
                <w:sz w:val="22"/>
              </w:rPr>
            </w:pPr>
            <w:r>
              <w:rPr>
                <w:rFonts w:eastAsia="Arial" w:cs="Arial"/>
                <w:i/>
                <w:iCs/>
                <w:color w:val="808080" w:themeColor="background1" w:themeShade="80"/>
                <w:sz w:val="22"/>
              </w:rPr>
              <w:t xml:space="preserve">Se trata de la modificación de una instrucción emitida por la Superintedencia Nacional de Salud en el ejercicio de las funciones de inspección, vigilancia y control. </w:t>
            </w:r>
          </w:p>
        </w:tc>
      </w:tr>
    </w:tbl>
    <w:p w14:paraId="0637EB69" w14:textId="77777777" w:rsidR="00AC56B9" w:rsidRDefault="00AC56B9" w:rsidP="00AC56B9">
      <w:pPr>
        <w:pStyle w:val="Ttulo1"/>
        <w:spacing w:before="0" w:after="0" w:line="360" w:lineRule="auto"/>
      </w:pPr>
      <w:bookmarkStart w:id="1" w:name="_Toc203926881"/>
    </w:p>
    <w:p w14:paraId="4AEF28D2" w14:textId="394FEEAC" w:rsidR="004B41ED" w:rsidRDefault="004B41ED" w:rsidP="008A6722">
      <w:pPr>
        <w:pStyle w:val="Ttulo1"/>
        <w:numPr>
          <w:ilvl w:val="0"/>
          <w:numId w:val="26"/>
        </w:numPr>
        <w:spacing w:before="0" w:after="0" w:line="360" w:lineRule="auto"/>
      </w:pPr>
      <w:r>
        <w:t>DESCRIPCIÓN DEL PROBLEMA</w:t>
      </w:r>
      <w:bookmarkEnd w:id="1"/>
    </w:p>
    <w:p w14:paraId="4CE69B41" w14:textId="6B320DFF" w:rsidR="193187C3" w:rsidRDefault="193187C3" w:rsidP="193187C3">
      <w:pPr>
        <w:spacing w:before="0" w:after="0"/>
        <w:jc w:val="both"/>
        <w:rPr>
          <w:rFonts w:eastAsia="Arial" w:cs="Arial"/>
          <w:i/>
          <w:iCs/>
          <w:sz w:val="22"/>
        </w:rPr>
      </w:pPr>
    </w:p>
    <w:p w14:paraId="5714B391" w14:textId="0C1497B7" w:rsidR="0B95A651" w:rsidRDefault="0B95A651" w:rsidP="193187C3">
      <w:pPr>
        <w:spacing w:before="0" w:after="0"/>
        <w:jc w:val="both"/>
        <w:rPr>
          <w:rFonts w:eastAsia="Arial" w:cs="Arial"/>
          <w:i/>
          <w:iCs/>
          <w:color w:val="808080" w:themeColor="background1" w:themeShade="80"/>
        </w:rPr>
      </w:pPr>
      <w:r w:rsidRPr="193187C3">
        <w:rPr>
          <w:rFonts w:eastAsia="Arial" w:cs="Arial"/>
          <w:i/>
          <w:iCs/>
          <w:color w:val="808080" w:themeColor="background1" w:themeShade="80"/>
        </w:rPr>
        <w:t>Atendiendo al carácter extraordinario y excepcional de la medida de intervención forzosa administrativa, la cual tiene como finalidad principal subsanar las causales que dieron origen a su adopción y restablecer las condiciones necesarias para que la entidad intervenida pueda desarrollar de manera adecuada y sostenible su objeto social, se evidencia que la regulación vigente presenta limitaciones en relación con el perfil de experiencia exigido a los agentes interventores.</w:t>
      </w:r>
    </w:p>
    <w:p w14:paraId="360FD617" w14:textId="246BC733" w:rsidR="193187C3" w:rsidRDefault="193187C3" w:rsidP="193187C3">
      <w:pPr>
        <w:spacing w:before="0" w:after="0"/>
        <w:jc w:val="both"/>
        <w:rPr>
          <w:rFonts w:eastAsia="Arial" w:cs="Arial"/>
          <w:i/>
          <w:iCs/>
          <w:color w:val="808080" w:themeColor="background1" w:themeShade="80"/>
        </w:rPr>
      </w:pPr>
    </w:p>
    <w:p w14:paraId="1830D168" w14:textId="6BE3B816" w:rsidR="0B95A651" w:rsidRDefault="0B95A651" w:rsidP="193187C3">
      <w:pPr>
        <w:spacing w:before="0" w:after="0"/>
        <w:jc w:val="both"/>
      </w:pPr>
      <w:r w:rsidRPr="193187C3">
        <w:rPr>
          <w:rFonts w:eastAsia="Arial" w:cs="Arial"/>
          <w:i/>
          <w:iCs/>
          <w:color w:val="808080" w:themeColor="background1" w:themeShade="80"/>
        </w:rPr>
        <w:t xml:space="preserve">En particular, el marco normativo actual establece unos criterios de experiencia que resultan restrictivos frente a la complejidad real de las situaciones que enfrentan las entidades sometidas a este tipo de medidas especiales, las cuales suelen atravesar escenarios críticos caracterizados por desequilibrios financieros, fallas en la gestión </w:t>
      </w:r>
      <w:r w:rsidRPr="193187C3">
        <w:rPr>
          <w:rFonts w:eastAsia="Arial" w:cs="Arial"/>
          <w:i/>
          <w:iCs/>
          <w:color w:val="808080" w:themeColor="background1" w:themeShade="80"/>
        </w:rPr>
        <w:lastRenderedPageBreak/>
        <w:t>administrativa, deficiencias en los procesos comerciales, problemas de liquidez, endeudamiento significativo y deterioro en sus relaciones contractuales y operativas.</w:t>
      </w:r>
    </w:p>
    <w:p w14:paraId="75F9FB57" w14:textId="39E9AEA7" w:rsidR="193187C3" w:rsidRDefault="193187C3" w:rsidP="193187C3">
      <w:pPr>
        <w:spacing w:before="0" w:after="0"/>
        <w:jc w:val="both"/>
        <w:rPr>
          <w:rFonts w:eastAsia="Arial" w:cs="Arial"/>
          <w:i/>
          <w:iCs/>
          <w:color w:val="808080" w:themeColor="background1" w:themeShade="80"/>
        </w:rPr>
      </w:pPr>
    </w:p>
    <w:p w14:paraId="6EF2E49C" w14:textId="6A38529E" w:rsidR="0B95A651" w:rsidRDefault="0B95A651" w:rsidP="193187C3">
      <w:pPr>
        <w:spacing w:before="0" w:after="0"/>
        <w:jc w:val="both"/>
      </w:pPr>
      <w:r w:rsidRPr="193187C3">
        <w:rPr>
          <w:rFonts w:eastAsia="Arial" w:cs="Arial"/>
          <w:i/>
          <w:iCs/>
          <w:color w:val="808080" w:themeColor="background1" w:themeShade="80"/>
        </w:rPr>
        <w:t>La limitación de los sectores de experiencia formalmente reconocidos para el ejercicio del rol de agente interventor puede afectar la capacidad de respuesta integral del agente designado, en la medida en que no siempre se cuenta con conocimientos especializados en áreas estratégicas como la planeación financiera, la gestión comercial, la administración de recursos, la renegociación de obligaciones y la adopción de decisiones orientadas a la sostenibilidad económica de la entidad. Lo anterior cobra especial relevancia si se tiene en cuenta que la intervención forzosa administrativa no se agota en un control meramente</w:t>
      </w:r>
      <w:r w:rsidR="2E2A7094" w:rsidRPr="193187C3">
        <w:rPr>
          <w:rFonts w:eastAsia="Arial" w:cs="Arial"/>
          <w:i/>
          <w:iCs/>
          <w:color w:val="808080" w:themeColor="background1" w:themeShade="80"/>
        </w:rPr>
        <w:t xml:space="preserve"> de la atención en salud o lo</w:t>
      </w:r>
      <w:r w:rsidRPr="193187C3">
        <w:rPr>
          <w:rFonts w:eastAsia="Arial" w:cs="Arial"/>
          <w:i/>
          <w:iCs/>
          <w:color w:val="808080" w:themeColor="background1" w:themeShade="80"/>
        </w:rPr>
        <w:t xml:space="preserve"> jurídico, sino que exige una gestión activa, técnica y multidimensional orientada a la recuperación y salvamento de la entidad intervenida.</w:t>
      </w:r>
    </w:p>
    <w:p w14:paraId="04157AD6" w14:textId="43CC276D" w:rsidR="193187C3" w:rsidRDefault="193187C3" w:rsidP="193187C3">
      <w:pPr>
        <w:spacing w:before="0" w:after="0"/>
        <w:jc w:val="both"/>
        <w:rPr>
          <w:rFonts w:eastAsia="Arial" w:cs="Arial"/>
          <w:i/>
          <w:iCs/>
          <w:color w:val="808080" w:themeColor="background1" w:themeShade="80"/>
        </w:rPr>
      </w:pPr>
    </w:p>
    <w:p w14:paraId="2A74F324" w14:textId="54CC47FD" w:rsidR="0B95A651" w:rsidRDefault="0B95A651" w:rsidP="193187C3">
      <w:pPr>
        <w:spacing w:before="0" w:after="0"/>
        <w:jc w:val="both"/>
        <w:rPr>
          <w:rFonts w:eastAsia="Arial" w:cs="Arial"/>
          <w:i/>
          <w:iCs/>
          <w:color w:val="808080" w:themeColor="background1" w:themeShade="80"/>
        </w:rPr>
      </w:pPr>
      <w:r w:rsidRPr="193187C3">
        <w:rPr>
          <w:rFonts w:eastAsia="Arial" w:cs="Arial"/>
          <w:i/>
          <w:iCs/>
          <w:color w:val="808080" w:themeColor="background1" w:themeShade="80"/>
        </w:rPr>
        <w:t xml:space="preserve">En este contexto, </w:t>
      </w:r>
      <w:r w:rsidR="22410924" w:rsidRPr="193187C3">
        <w:rPr>
          <w:rFonts w:eastAsia="Arial" w:cs="Arial"/>
          <w:i/>
          <w:iCs/>
          <w:color w:val="808080" w:themeColor="background1" w:themeShade="80"/>
        </w:rPr>
        <w:t xml:space="preserve">el limitar el perfil al sector </w:t>
      </w:r>
      <w:r w:rsidR="4BEB1057" w:rsidRPr="193187C3">
        <w:rPr>
          <w:rFonts w:eastAsia="Arial" w:cs="Arial"/>
          <w:i/>
          <w:iCs/>
          <w:color w:val="808080" w:themeColor="background1" w:themeShade="80"/>
        </w:rPr>
        <w:t>salud, nos</w:t>
      </w:r>
      <w:r w:rsidR="61CFB10B" w:rsidRPr="193187C3">
        <w:rPr>
          <w:rFonts w:eastAsia="Arial" w:cs="Arial"/>
          <w:i/>
          <w:iCs/>
          <w:color w:val="808080" w:themeColor="background1" w:themeShade="80"/>
        </w:rPr>
        <w:t xml:space="preserve"> lleva a que se puedan dejar de lado</w:t>
      </w:r>
      <w:r w:rsidRPr="193187C3">
        <w:rPr>
          <w:rFonts w:eastAsia="Arial" w:cs="Arial"/>
          <w:i/>
          <w:iCs/>
          <w:color w:val="808080" w:themeColor="background1" w:themeShade="80"/>
        </w:rPr>
        <w:t xml:space="preserve"> conocimientos </w:t>
      </w:r>
      <w:r w:rsidR="36FBA1B9" w:rsidRPr="193187C3">
        <w:rPr>
          <w:rFonts w:eastAsia="Arial" w:cs="Arial"/>
          <w:i/>
          <w:iCs/>
          <w:color w:val="808080" w:themeColor="background1" w:themeShade="80"/>
        </w:rPr>
        <w:t xml:space="preserve">desde otras áreas que permitan </w:t>
      </w:r>
      <w:r w:rsidRPr="193187C3">
        <w:rPr>
          <w:rFonts w:eastAsia="Arial" w:cs="Arial"/>
          <w:i/>
          <w:iCs/>
          <w:color w:val="808080" w:themeColor="background1" w:themeShade="80"/>
        </w:rPr>
        <w:t>la formulación e implementación de estrategias de reorganización administrativa y financiera, la optimización de ingresos, el control del gasto, la gestión de riesgos y la preservación de la viabilidad operativa de la entidad.</w:t>
      </w:r>
    </w:p>
    <w:p w14:paraId="7989179A" w14:textId="6FA48F5F" w:rsidR="193187C3" w:rsidRDefault="193187C3" w:rsidP="193187C3">
      <w:pPr>
        <w:spacing w:before="0" w:after="0"/>
        <w:jc w:val="both"/>
        <w:rPr>
          <w:rFonts w:eastAsia="Arial" w:cs="Arial"/>
          <w:i/>
          <w:iCs/>
          <w:color w:val="808080" w:themeColor="background1" w:themeShade="80"/>
        </w:rPr>
      </w:pPr>
    </w:p>
    <w:p w14:paraId="0667BB96" w14:textId="13687D8F" w:rsidR="0B95A651" w:rsidRDefault="0B95A651" w:rsidP="193187C3">
      <w:pPr>
        <w:spacing w:before="0" w:after="0"/>
        <w:jc w:val="both"/>
      </w:pPr>
      <w:r w:rsidRPr="193187C3">
        <w:rPr>
          <w:rFonts w:eastAsia="Arial" w:cs="Arial"/>
          <w:i/>
          <w:iCs/>
          <w:color w:val="808080" w:themeColor="background1" w:themeShade="80"/>
        </w:rPr>
        <w:t xml:space="preserve">Adicionalmente, esta limitación normativa puede generar dificultades en los procesos de selección y designación de agentes interventores, reduciendo el universo de perfiles idóneos disponibles y limitando la capacidad de la autoridad de supervisión para designar agentes con competencias alineadas a las necesidades particulares de cada entidad intervenida. Ello puede dar lugar a reprocesos </w:t>
      </w:r>
      <w:r w:rsidRPr="193187C3">
        <w:rPr>
          <w:rFonts w:eastAsia="Arial" w:cs="Arial"/>
          <w:i/>
          <w:iCs/>
          <w:color w:val="808080" w:themeColor="background1" w:themeShade="80"/>
        </w:rPr>
        <w:lastRenderedPageBreak/>
        <w:t>administrativos, demoras en la adopción de decisiones clave y riesgos para el cumplimiento oportuno de los fines de la intervención.</w:t>
      </w:r>
    </w:p>
    <w:p w14:paraId="2CB10573" w14:textId="4D9960CB" w:rsidR="0B95A651" w:rsidRDefault="0B95A651" w:rsidP="193187C3">
      <w:pPr>
        <w:spacing w:before="0" w:after="0"/>
        <w:jc w:val="both"/>
      </w:pPr>
      <w:r w:rsidRPr="193187C3">
        <w:rPr>
          <w:rFonts w:eastAsia="Arial" w:cs="Arial"/>
          <w:i/>
          <w:iCs/>
          <w:color w:val="808080" w:themeColor="background1" w:themeShade="80"/>
        </w:rPr>
        <w:t xml:space="preserve">Esta situación evidencia la necesidad de adelantar un ajuste normativo que permita </w:t>
      </w:r>
      <w:r w:rsidR="068AA974" w:rsidRPr="193187C3">
        <w:rPr>
          <w:rFonts w:eastAsia="Arial" w:cs="Arial"/>
          <w:i/>
          <w:iCs/>
          <w:color w:val="808080" w:themeColor="background1" w:themeShade="80"/>
        </w:rPr>
        <w:t xml:space="preserve">diversificar </w:t>
      </w:r>
      <w:r w:rsidRPr="193187C3">
        <w:rPr>
          <w:rFonts w:eastAsia="Arial" w:cs="Arial"/>
          <w:i/>
          <w:iCs/>
          <w:color w:val="808080" w:themeColor="background1" w:themeShade="80"/>
        </w:rPr>
        <w:t>el perfil de los agentes interventores, armonizando los requisitos de experiencia con la naturaleza excepcional de la medida y con los objetivos de recuperación, estabilidad y continuidad de las entidades intervenidas.</w:t>
      </w:r>
    </w:p>
    <w:p w14:paraId="347F7459" w14:textId="0F582EB6" w:rsidR="193187C3" w:rsidRDefault="193187C3" w:rsidP="193187C3">
      <w:pPr>
        <w:spacing w:before="0" w:after="0"/>
        <w:jc w:val="both"/>
        <w:rPr>
          <w:rFonts w:eastAsia="Arial" w:cs="Arial"/>
          <w:i/>
          <w:iCs/>
          <w:color w:val="808080" w:themeColor="background1" w:themeShade="80"/>
        </w:rPr>
      </w:pPr>
    </w:p>
    <w:p w14:paraId="64355A43" w14:textId="2974F3F1" w:rsidR="7B8D18AD" w:rsidRDefault="3C223A06" w:rsidP="3A4260EA">
      <w:pPr>
        <w:spacing w:before="0" w:after="0"/>
        <w:jc w:val="both"/>
        <w:rPr>
          <w:rFonts w:eastAsia="Arial" w:cs="Arial"/>
          <w:i/>
          <w:iCs/>
          <w:color w:val="808080" w:themeColor="background1" w:themeShade="80"/>
        </w:rPr>
      </w:pPr>
      <w:r w:rsidRPr="3A4260EA">
        <w:rPr>
          <w:rFonts w:eastAsia="Arial" w:cs="Arial"/>
          <w:i/>
          <w:iCs/>
          <w:color w:val="808080" w:themeColor="background1" w:themeShade="80"/>
        </w:rPr>
        <w:t xml:space="preserve">Aunado a lo anterior, en la revisión del acto administrativo se evidenció una contradicción entre la cita del artículo 2.5.5.1.5 del Decreto 780 de 2016 en el inciso primero y final del parágrafo 1 del </w:t>
      </w:r>
      <w:proofErr w:type="spellStart"/>
      <w:r w:rsidRPr="3A4260EA">
        <w:rPr>
          <w:rFonts w:eastAsia="Arial" w:cs="Arial"/>
          <w:i/>
          <w:iCs/>
          <w:color w:val="808080" w:themeColor="background1" w:themeShade="80"/>
        </w:rPr>
        <w:t>articulo</w:t>
      </w:r>
      <w:proofErr w:type="spellEnd"/>
      <w:r w:rsidRPr="3A4260EA">
        <w:rPr>
          <w:rFonts w:eastAsia="Arial" w:cs="Arial"/>
          <w:i/>
          <w:iCs/>
          <w:color w:val="808080" w:themeColor="background1" w:themeShade="80"/>
        </w:rPr>
        <w:t xml:space="preserve"> 15 de la resolución, la cual es importante subsanar para evitar </w:t>
      </w:r>
      <w:r w:rsidR="1DFBD71A" w:rsidRPr="3A4260EA">
        <w:rPr>
          <w:rFonts w:eastAsia="Arial" w:cs="Arial"/>
          <w:i/>
          <w:iCs/>
          <w:color w:val="808080" w:themeColor="background1" w:themeShade="80"/>
        </w:rPr>
        <w:t>malinterpretaciones normativas.</w:t>
      </w:r>
    </w:p>
    <w:p w14:paraId="094776E6" w14:textId="77777777" w:rsidR="00952CEC" w:rsidRDefault="00952CEC" w:rsidP="3A4260EA">
      <w:pPr>
        <w:spacing w:before="0" w:after="0"/>
        <w:jc w:val="both"/>
        <w:rPr>
          <w:rFonts w:eastAsia="Arial" w:cs="Arial"/>
          <w:i/>
          <w:iCs/>
          <w:color w:val="808080" w:themeColor="background1" w:themeShade="80"/>
        </w:rPr>
      </w:pPr>
    </w:p>
    <w:p w14:paraId="25E3CC01" w14:textId="6621DFB2" w:rsidR="04DDEFD7" w:rsidRDefault="04DDEFD7" w:rsidP="3A4260EA">
      <w:pPr>
        <w:spacing w:before="0" w:after="0"/>
        <w:jc w:val="both"/>
        <w:rPr>
          <w:rFonts w:eastAsia="Arial" w:cs="Arial"/>
          <w:i/>
          <w:iCs/>
          <w:color w:val="808080" w:themeColor="background1" w:themeShade="80"/>
        </w:rPr>
      </w:pPr>
      <w:r w:rsidRPr="3A4260EA">
        <w:rPr>
          <w:rFonts w:eastAsia="Arial" w:cs="Arial"/>
          <w:i/>
          <w:iCs/>
          <w:color w:val="808080" w:themeColor="background1" w:themeShade="80"/>
        </w:rPr>
        <w:t>Así</w:t>
      </w:r>
      <w:r w:rsidR="2177C5DE" w:rsidRPr="3A4260EA">
        <w:rPr>
          <w:rFonts w:eastAsia="Arial" w:cs="Arial"/>
          <w:i/>
          <w:iCs/>
          <w:color w:val="808080" w:themeColor="background1" w:themeShade="80"/>
        </w:rPr>
        <w:t xml:space="preserve"> las cosas y teniendo en cuenta los requisitos establecidos en el artículo 2.5.5.1.5 del Decreto número 780 de 2016 Único Reglamentario del Sector Salud y Protección Social para los agentes  liquidadores o contralores, se ajusta el parágrafo 1 del artículo 15 de la Resolución 2599 de 2026 eliminando la exclusión  respecto de estos requisitos, toda vez que corresponde a un requisito incluido en Decreto mencionado y se hace necesario adicionar y modificar el parágrafo 1 del artículo 15 de la Resolución 2599 de 2016.</w:t>
      </w:r>
    </w:p>
    <w:p w14:paraId="7628C9B1" w14:textId="77777777" w:rsidR="004B41ED" w:rsidRPr="00D27413" w:rsidRDefault="004B41ED" w:rsidP="00AC56B9">
      <w:pPr>
        <w:spacing w:before="0" w:after="0"/>
        <w:rPr>
          <w:rFonts w:eastAsia="Arial" w:cs="Arial"/>
          <w:i/>
          <w:iCs/>
        </w:rPr>
      </w:pPr>
    </w:p>
    <w:p w14:paraId="15CE7541" w14:textId="77777777" w:rsidR="004B41ED" w:rsidRPr="00D27413" w:rsidRDefault="004B41ED" w:rsidP="00AC56B9">
      <w:pPr>
        <w:pStyle w:val="Ttulo1"/>
        <w:spacing w:before="0" w:after="0" w:line="360" w:lineRule="auto"/>
      </w:pPr>
      <w:r w:rsidRPr="00D27413">
        <w:t>2.1. Objetivo original de la regulación que se va a modificar</w:t>
      </w:r>
    </w:p>
    <w:p w14:paraId="2C74EC19" w14:textId="77777777" w:rsidR="004B41ED" w:rsidRDefault="004B41ED" w:rsidP="00AC56B9">
      <w:pPr>
        <w:spacing w:before="0" w:after="0"/>
        <w:rPr>
          <w:rFonts w:eastAsia="Arial" w:cs="Arial"/>
          <w:i/>
          <w:iCs/>
        </w:rPr>
      </w:pPr>
    </w:p>
    <w:p w14:paraId="023199D0" w14:textId="61A75B73" w:rsidR="2E29020A" w:rsidRDefault="2E29020A" w:rsidP="193187C3">
      <w:pPr>
        <w:spacing w:before="0" w:after="0"/>
        <w:jc w:val="both"/>
        <w:rPr>
          <w:rFonts w:eastAsia="Arial" w:cs="Arial"/>
          <w:i/>
          <w:iCs/>
          <w:color w:val="808080" w:themeColor="background1" w:themeShade="80"/>
        </w:rPr>
      </w:pPr>
      <w:r w:rsidRPr="193187C3">
        <w:rPr>
          <w:rFonts w:eastAsia="Arial" w:cs="Arial"/>
          <w:i/>
          <w:iCs/>
          <w:color w:val="808080" w:themeColor="background1" w:themeShade="80"/>
        </w:rPr>
        <w:t xml:space="preserve">Dictar disposiciones relacionadas con la inscripción, designación, fijación de honorarios, posesión, funciones, obligaciones, seguimiento, sanciones, reemplazo y otros asuntos de los agentes interventores, liquidadores y contralores de las </w:t>
      </w:r>
      <w:r w:rsidRPr="193187C3">
        <w:rPr>
          <w:rFonts w:eastAsia="Arial" w:cs="Arial"/>
          <w:i/>
          <w:iCs/>
          <w:color w:val="808080" w:themeColor="background1" w:themeShade="80"/>
        </w:rPr>
        <w:lastRenderedPageBreak/>
        <w:t>entidades objeto, por parte de la Superintendencia Nacional de Salud, de las medidas especiales de toma de posesión e intervención forzosa administrativa y las medidas especiales previstas en el artículo 68 de la Ley 1753 de 2015.</w:t>
      </w:r>
    </w:p>
    <w:p w14:paraId="308984AE" w14:textId="77777777" w:rsidR="004B41ED" w:rsidRPr="00D27413" w:rsidRDefault="004B41ED" w:rsidP="00AC56B9">
      <w:pPr>
        <w:spacing w:before="0" w:after="0"/>
        <w:rPr>
          <w:rFonts w:eastAsia="Arial" w:cs="Arial"/>
          <w:i/>
          <w:iCs/>
        </w:rPr>
      </w:pPr>
    </w:p>
    <w:p w14:paraId="26B3DDD4" w14:textId="77777777" w:rsidR="004B41ED" w:rsidRPr="00D27413" w:rsidRDefault="004B41ED" w:rsidP="00AC56B9">
      <w:pPr>
        <w:pStyle w:val="Ttulo1"/>
        <w:spacing w:before="0" w:after="0" w:line="360" w:lineRule="auto"/>
      </w:pPr>
      <w:r w:rsidRPr="00D27413">
        <w:t>2.2. Causas y consecuencias del problema</w:t>
      </w:r>
    </w:p>
    <w:p w14:paraId="5D51E6F4" w14:textId="77777777" w:rsidR="004B41ED" w:rsidRDefault="004B41ED" w:rsidP="00AC56B9">
      <w:pPr>
        <w:spacing w:before="0" w:after="0"/>
        <w:rPr>
          <w:rFonts w:eastAsia="Arial" w:cs="Arial"/>
          <w:i/>
          <w:iCs/>
        </w:rPr>
      </w:pPr>
    </w:p>
    <w:p w14:paraId="5A45050B" w14:textId="63BAD24E" w:rsidR="004B41ED" w:rsidRPr="00AC56B9" w:rsidRDefault="3D6ACBDB" w:rsidP="193187C3">
      <w:pPr>
        <w:spacing w:before="0" w:after="0"/>
        <w:jc w:val="both"/>
        <w:rPr>
          <w:rFonts w:eastAsia="Arial" w:cs="Arial"/>
          <w:b/>
          <w:bCs/>
          <w:i/>
          <w:iCs/>
          <w:color w:val="808080" w:themeColor="background1" w:themeShade="80"/>
        </w:rPr>
      </w:pPr>
      <w:r w:rsidRPr="193187C3">
        <w:rPr>
          <w:rFonts w:eastAsia="Arial" w:cs="Arial"/>
          <w:b/>
          <w:bCs/>
          <w:i/>
          <w:iCs/>
          <w:color w:val="808080" w:themeColor="background1" w:themeShade="80"/>
        </w:rPr>
        <w:t>Causas del problema</w:t>
      </w:r>
    </w:p>
    <w:p w14:paraId="5CA3214E" w14:textId="2EF38F52" w:rsidR="004B41ED" w:rsidRPr="00AC56B9" w:rsidRDefault="5B568D8C" w:rsidP="193187C3">
      <w:pPr>
        <w:spacing w:before="0" w:after="0"/>
        <w:jc w:val="both"/>
        <w:rPr>
          <w:rFonts w:eastAsia="Arial" w:cs="Arial"/>
          <w:i/>
          <w:iCs/>
          <w:color w:val="808080" w:themeColor="background1" w:themeShade="80"/>
        </w:rPr>
      </w:pPr>
      <w:r w:rsidRPr="193187C3">
        <w:rPr>
          <w:rFonts w:eastAsia="Arial" w:cs="Arial"/>
          <w:i/>
          <w:iCs/>
          <w:color w:val="808080" w:themeColor="background1" w:themeShade="80"/>
        </w:rPr>
        <w:t xml:space="preserve">1.   Contradicción entre la cita del artículo 2.5.5.1.5 del Decreto 780 de 2016 en el inciso primero y final del parágrafo 1 del </w:t>
      </w:r>
      <w:r w:rsidR="00A712A8" w:rsidRPr="193187C3">
        <w:rPr>
          <w:rFonts w:eastAsia="Arial" w:cs="Arial"/>
          <w:i/>
          <w:iCs/>
          <w:color w:val="808080" w:themeColor="background1" w:themeShade="80"/>
        </w:rPr>
        <w:t>artículo</w:t>
      </w:r>
      <w:r w:rsidRPr="193187C3">
        <w:rPr>
          <w:rFonts w:eastAsia="Arial" w:cs="Arial"/>
          <w:i/>
          <w:iCs/>
          <w:color w:val="808080" w:themeColor="background1" w:themeShade="80"/>
        </w:rPr>
        <w:t xml:space="preserve"> 15 de la resolución.</w:t>
      </w:r>
    </w:p>
    <w:p w14:paraId="5F841217" w14:textId="14182CEB" w:rsidR="004B41ED" w:rsidRDefault="5B568D8C" w:rsidP="193187C3">
      <w:pPr>
        <w:spacing w:before="0" w:after="0"/>
        <w:jc w:val="both"/>
        <w:rPr>
          <w:rFonts w:eastAsia="Arial" w:cs="Arial"/>
          <w:i/>
          <w:iCs/>
          <w:color w:val="808080" w:themeColor="background1" w:themeShade="80"/>
        </w:rPr>
      </w:pPr>
      <w:r w:rsidRPr="193187C3">
        <w:rPr>
          <w:rFonts w:eastAsia="Arial" w:cs="Arial"/>
          <w:i/>
          <w:iCs/>
          <w:color w:val="808080" w:themeColor="background1" w:themeShade="80"/>
        </w:rPr>
        <w:t xml:space="preserve">2. </w:t>
      </w:r>
      <w:r w:rsidR="399B27E6" w:rsidRPr="193187C3">
        <w:rPr>
          <w:rFonts w:eastAsia="Arial" w:cs="Arial"/>
          <w:i/>
          <w:iCs/>
          <w:color w:val="808080" w:themeColor="background1" w:themeShade="80"/>
        </w:rPr>
        <w:t>Dado que la</w:t>
      </w:r>
      <w:r w:rsidR="00C75D17">
        <w:rPr>
          <w:rFonts w:eastAsia="Arial" w:cs="Arial"/>
          <w:i/>
          <w:iCs/>
          <w:color w:val="808080" w:themeColor="background1" w:themeShade="80"/>
        </w:rPr>
        <w:t>s medidas especiales</w:t>
      </w:r>
      <w:r w:rsidR="399B27E6" w:rsidRPr="193187C3">
        <w:rPr>
          <w:rFonts w:eastAsia="Arial" w:cs="Arial"/>
          <w:i/>
          <w:iCs/>
          <w:color w:val="808080" w:themeColor="background1" w:themeShade="80"/>
        </w:rPr>
        <w:t xml:space="preserve"> conlleva</w:t>
      </w:r>
      <w:r w:rsidR="00C75D17">
        <w:rPr>
          <w:rFonts w:eastAsia="Arial" w:cs="Arial"/>
          <w:i/>
          <w:iCs/>
          <w:color w:val="808080" w:themeColor="background1" w:themeShade="80"/>
        </w:rPr>
        <w:t>n</w:t>
      </w:r>
      <w:r w:rsidR="399B27E6" w:rsidRPr="193187C3">
        <w:rPr>
          <w:rFonts w:eastAsia="Arial" w:cs="Arial"/>
          <w:i/>
          <w:iCs/>
          <w:color w:val="808080" w:themeColor="background1" w:themeShade="80"/>
        </w:rPr>
        <w:t xml:space="preserve"> la atención de problemáticas que exceden el ámbito sectorial de la salud, el perfil del agente interventor no debe circunscribirse de manera exclusiva a la experiencia en dicho sector. Por el contrario, se hace necesario habilitar la acreditación de experiencia en otros sectores que amplíen la visión integral de la gestión, en particular en ámbitos financieros y comerciales, que resultan determinantes para la adecuada toma de decisiones estratégicas y la administración eficiente de los recursos durante el desarrollo de la intervención</w:t>
      </w:r>
    </w:p>
    <w:p w14:paraId="0298C193" w14:textId="77777777" w:rsidR="00862523" w:rsidRPr="00AC56B9" w:rsidRDefault="00862523" w:rsidP="193187C3">
      <w:pPr>
        <w:spacing w:before="0" w:after="0"/>
        <w:jc w:val="both"/>
        <w:rPr>
          <w:rFonts w:eastAsia="Arial" w:cs="Arial"/>
          <w:i/>
          <w:iCs/>
          <w:color w:val="808080" w:themeColor="background1" w:themeShade="80"/>
        </w:rPr>
      </w:pPr>
    </w:p>
    <w:p w14:paraId="2B685023" w14:textId="3BC1779E" w:rsidR="004B41ED" w:rsidRPr="00AC56B9" w:rsidRDefault="11FD13F3" w:rsidP="193187C3">
      <w:pPr>
        <w:spacing w:before="0" w:after="0"/>
        <w:jc w:val="both"/>
        <w:rPr>
          <w:rFonts w:eastAsia="Arial" w:cs="Arial"/>
          <w:b/>
          <w:bCs/>
          <w:i/>
          <w:iCs/>
          <w:color w:val="808080" w:themeColor="background1" w:themeShade="80"/>
        </w:rPr>
      </w:pPr>
      <w:r w:rsidRPr="193187C3">
        <w:rPr>
          <w:rFonts w:eastAsia="Arial" w:cs="Arial"/>
          <w:b/>
          <w:bCs/>
          <w:i/>
          <w:iCs/>
          <w:color w:val="808080" w:themeColor="background1" w:themeShade="80"/>
        </w:rPr>
        <w:t>Consecuencias del problema</w:t>
      </w:r>
    </w:p>
    <w:p w14:paraId="7581FC1B" w14:textId="44C9FED0" w:rsidR="193187C3" w:rsidRDefault="193187C3" w:rsidP="193187C3">
      <w:pPr>
        <w:spacing w:before="0" w:after="0"/>
        <w:jc w:val="both"/>
        <w:rPr>
          <w:rFonts w:eastAsia="Arial" w:cs="Arial"/>
          <w:b/>
          <w:bCs/>
          <w:i/>
          <w:iCs/>
          <w:color w:val="808080" w:themeColor="background1" w:themeShade="80"/>
        </w:rPr>
      </w:pPr>
    </w:p>
    <w:p w14:paraId="018C0390" w14:textId="55F35AC3" w:rsidR="27DCAC0B" w:rsidRDefault="27DCAC0B" w:rsidP="193187C3">
      <w:pPr>
        <w:pStyle w:val="Prrafodelista"/>
        <w:numPr>
          <w:ilvl w:val="0"/>
          <w:numId w:val="4"/>
        </w:numPr>
        <w:spacing w:before="0" w:after="0"/>
        <w:jc w:val="both"/>
        <w:rPr>
          <w:rFonts w:eastAsia="Arial" w:cs="Arial"/>
          <w:i/>
          <w:iCs/>
          <w:color w:val="808080" w:themeColor="background1" w:themeShade="80"/>
        </w:rPr>
      </w:pPr>
      <w:r w:rsidRPr="193187C3">
        <w:rPr>
          <w:rFonts w:eastAsia="Arial" w:cs="Arial"/>
          <w:i/>
          <w:iCs/>
          <w:color w:val="808080" w:themeColor="background1" w:themeShade="80"/>
        </w:rPr>
        <w:t>Afecta la seguridad jurídica en los procesos de designación y puede ocasionar demoras innecesarias, reprocesos administrativos y discrecionalidad interpretativa.</w:t>
      </w:r>
    </w:p>
    <w:p w14:paraId="08427A26" w14:textId="285AA251" w:rsidR="0A468461" w:rsidRDefault="0A468461" w:rsidP="193187C3">
      <w:pPr>
        <w:pStyle w:val="Prrafodelista"/>
        <w:numPr>
          <w:ilvl w:val="0"/>
          <w:numId w:val="4"/>
        </w:numPr>
        <w:spacing w:before="0" w:after="0"/>
        <w:jc w:val="both"/>
        <w:rPr>
          <w:rFonts w:eastAsia="Arial" w:cs="Arial"/>
          <w:i/>
          <w:iCs/>
          <w:color w:val="808080" w:themeColor="background1" w:themeShade="80"/>
        </w:rPr>
      </w:pPr>
      <w:r w:rsidRPr="193187C3">
        <w:rPr>
          <w:rFonts w:eastAsia="Arial" w:cs="Arial"/>
          <w:i/>
          <w:iCs/>
          <w:color w:val="808080" w:themeColor="background1" w:themeShade="80"/>
        </w:rPr>
        <w:t>Demoras en la adopción de decisiones clave.</w:t>
      </w:r>
    </w:p>
    <w:p w14:paraId="4D78EF50" w14:textId="783B9E3E" w:rsidR="0A468461" w:rsidRDefault="0A468461" w:rsidP="193187C3">
      <w:pPr>
        <w:pStyle w:val="Prrafodelista"/>
        <w:numPr>
          <w:ilvl w:val="0"/>
          <w:numId w:val="4"/>
        </w:numPr>
        <w:spacing w:before="0" w:after="0"/>
        <w:jc w:val="both"/>
        <w:rPr>
          <w:rFonts w:eastAsia="Arial" w:cs="Arial"/>
          <w:i/>
          <w:iCs/>
          <w:color w:val="808080" w:themeColor="background1" w:themeShade="80"/>
        </w:rPr>
      </w:pPr>
      <w:r w:rsidRPr="193187C3">
        <w:rPr>
          <w:rFonts w:eastAsia="Arial" w:cs="Arial"/>
          <w:i/>
          <w:iCs/>
          <w:color w:val="808080" w:themeColor="background1" w:themeShade="80"/>
        </w:rPr>
        <w:t>Riesgos para el cumplimiento oportuno de los fines de la intervención.</w:t>
      </w:r>
    </w:p>
    <w:p w14:paraId="26A14932" w14:textId="4A586FDF" w:rsidR="0A468461" w:rsidRDefault="0A468461" w:rsidP="193187C3">
      <w:pPr>
        <w:pStyle w:val="Prrafodelista"/>
        <w:numPr>
          <w:ilvl w:val="0"/>
          <w:numId w:val="4"/>
        </w:numPr>
        <w:spacing w:before="0" w:after="0"/>
        <w:jc w:val="both"/>
        <w:rPr>
          <w:rFonts w:eastAsia="Arial" w:cs="Arial"/>
          <w:i/>
          <w:iCs/>
          <w:color w:val="808080" w:themeColor="background1" w:themeShade="80"/>
        </w:rPr>
      </w:pPr>
      <w:r w:rsidRPr="193187C3">
        <w:rPr>
          <w:rFonts w:eastAsia="Arial" w:cs="Arial"/>
          <w:i/>
          <w:iCs/>
          <w:color w:val="808080" w:themeColor="background1" w:themeShade="80"/>
        </w:rPr>
        <w:t>Malinterpretaciones normativas</w:t>
      </w:r>
    </w:p>
    <w:p w14:paraId="7022CD99" w14:textId="6E67BC6D" w:rsidR="0A468461" w:rsidRDefault="0A468461" w:rsidP="193187C3">
      <w:pPr>
        <w:pStyle w:val="Prrafodelista"/>
        <w:numPr>
          <w:ilvl w:val="0"/>
          <w:numId w:val="4"/>
        </w:numPr>
        <w:spacing w:before="0" w:after="0"/>
        <w:jc w:val="both"/>
        <w:rPr>
          <w:rFonts w:eastAsia="Arial" w:cs="Arial"/>
          <w:i/>
          <w:iCs/>
          <w:color w:val="808080" w:themeColor="background1" w:themeShade="80"/>
        </w:rPr>
      </w:pPr>
      <w:r w:rsidRPr="193187C3">
        <w:rPr>
          <w:rFonts w:eastAsia="Arial" w:cs="Arial"/>
          <w:i/>
          <w:iCs/>
          <w:color w:val="808080" w:themeColor="background1" w:themeShade="80"/>
        </w:rPr>
        <w:lastRenderedPageBreak/>
        <w:t>Dificultades en la aplicación uniforme de la norma</w:t>
      </w:r>
    </w:p>
    <w:p w14:paraId="5BD71871" w14:textId="77777777" w:rsidR="004B41ED" w:rsidRPr="00D27413" w:rsidRDefault="004B41ED" w:rsidP="00AC56B9">
      <w:pPr>
        <w:pStyle w:val="Ttulo1"/>
        <w:spacing w:before="0" w:after="0" w:line="360" w:lineRule="auto"/>
      </w:pPr>
      <w:r>
        <w:t>2.3. Principales cambios de la modificación de la regulación.</w:t>
      </w:r>
    </w:p>
    <w:p w14:paraId="65D19D10" w14:textId="77777777" w:rsidR="004B41ED" w:rsidRPr="000C3981" w:rsidRDefault="004B41ED" w:rsidP="193187C3">
      <w:pPr>
        <w:spacing w:before="0" w:after="0"/>
        <w:rPr>
          <w:rFonts w:eastAsia="Arial" w:cs="Arial"/>
          <w:i/>
          <w:iCs/>
        </w:rPr>
      </w:pPr>
    </w:p>
    <w:p w14:paraId="2CB2DCB6" w14:textId="1726A0DC" w:rsidR="0027094D" w:rsidRDefault="71664F75" w:rsidP="0027094D">
      <w:pPr>
        <w:spacing w:before="0" w:after="0"/>
        <w:jc w:val="both"/>
        <w:rPr>
          <w:rFonts w:eastAsia="Arial" w:cs="Arial"/>
          <w:i/>
          <w:iCs/>
          <w:color w:val="808080" w:themeColor="background1" w:themeShade="80"/>
        </w:rPr>
      </w:pPr>
      <w:r w:rsidRPr="000C3981">
        <w:rPr>
          <w:rFonts w:eastAsia="Arial" w:cs="Arial"/>
          <w:i/>
          <w:iCs/>
          <w:color w:val="808080" w:themeColor="background1" w:themeShade="80"/>
        </w:rPr>
        <w:t>Se modifica parcialmente la Resolución 2599 de 2016, en lo relacionado con el parágrafo 1</w:t>
      </w:r>
      <w:r w:rsidR="00531D83" w:rsidRPr="000C3981">
        <w:rPr>
          <w:rFonts w:eastAsia="Arial" w:cs="Arial"/>
          <w:i/>
          <w:iCs/>
          <w:color w:val="808080" w:themeColor="background1" w:themeShade="80"/>
        </w:rPr>
        <w:t xml:space="preserve"> del</w:t>
      </w:r>
      <w:r w:rsidRPr="000C3981">
        <w:rPr>
          <w:rFonts w:eastAsia="Arial" w:cs="Arial"/>
          <w:i/>
          <w:iCs/>
          <w:color w:val="808080" w:themeColor="background1" w:themeShade="80"/>
        </w:rPr>
        <w:t xml:space="preserve"> artículo </w:t>
      </w:r>
      <w:r w:rsidR="000C3981" w:rsidRPr="000C3981">
        <w:rPr>
          <w:rFonts w:eastAsia="Arial" w:cs="Arial"/>
          <w:i/>
          <w:iCs/>
          <w:color w:val="808080" w:themeColor="background1" w:themeShade="80"/>
        </w:rPr>
        <w:t>15 habilitando</w:t>
      </w:r>
      <w:r w:rsidR="0027094D" w:rsidRPr="000C3981">
        <w:rPr>
          <w:rFonts w:eastAsia="Arial" w:cs="Arial"/>
          <w:i/>
          <w:iCs/>
          <w:color w:val="808080" w:themeColor="background1" w:themeShade="80"/>
        </w:rPr>
        <w:t xml:space="preserve"> la acreditación de experiencia en otros sectores que amplíen la visión integral</w:t>
      </w:r>
      <w:r w:rsidR="0027094D" w:rsidRPr="193187C3">
        <w:rPr>
          <w:rFonts w:eastAsia="Arial" w:cs="Arial"/>
          <w:i/>
          <w:iCs/>
          <w:color w:val="808080" w:themeColor="background1" w:themeShade="80"/>
        </w:rPr>
        <w:t xml:space="preserve"> de la gestión, en particular en ámbitos financieros y comerciales, que resultan determinantes para la adecuada toma de decisiones estratégicas y la administración eficiente de los recursos durante el desarrollo de la intervención</w:t>
      </w:r>
      <w:r w:rsidR="003F6EFE">
        <w:rPr>
          <w:rFonts w:eastAsia="Arial" w:cs="Arial"/>
          <w:i/>
          <w:iCs/>
          <w:color w:val="808080" w:themeColor="background1" w:themeShade="80"/>
        </w:rPr>
        <w:t>.</w:t>
      </w:r>
    </w:p>
    <w:p w14:paraId="0BB4AC63" w14:textId="64C9EE0F" w:rsidR="71664F75" w:rsidRDefault="71664F75" w:rsidP="193187C3">
      <w:pPr>
        <w:spacing w:before="0" w:after="0"/>
        <w:rPr>
          <w:rFonts w:eastAsia="Arial" w:cs="Arial"/>
          <w:i/>
          <w:iCs/>
          <w:color w:val="808080" w:themeColor="background1" w:themeShade="80"/>
          <w:highlight w:val="yellow"/>
        </w:rPr>
      </w:pPr>
    </w:p>
    <w:p w14:paraId="35F69795" w14:textId="77777777" w:rsidR="004B41ED" w:rsidRPr="00D27413" w:rsidRDefault="004B41ED" w:rsidP="00AC56B9">
      <w:pPr>
        <w:pStyle w:val="Ttulo1"/>
        <w:spacing w:before="0" w:after="0" w:line="360" w:lineRule="auto"/>
      </w:pPr>
      <w:r w:rsidRPr="00D27413">
        <w:t>2.4. Sectores potencialmente afectados e impactos esperados</w:t>
      </w:r>
    </w:p>
    <w:p w14:paraId="5021FCE7" w14:textId="77777777" w:rsidR="004B41ED" w:rsidRDefault="004B41ED" w:rsidP="00AC56B9">
      <w:pPr>
        <w:spacing w:before="0" w:after="0"/>
        <w:rPr>
          <w:rFonts w:eastAsia="Arial" w:cs="Arial"/>
          <w:i/>
          <w:iCs/>
        </w:rPr>
      </w:pPr>
    </w:p>
    <w:p w14:paraId="42F01896" w14:textId="77777777" w:rsidR="004B41ED" w:rsidRPr="00AC56B9" w:rsidRDefault="004B41ED" w:rsidP="00AC56B9">
      <w:pPr>
        <w:spacing w:before="0" w:after="0"/>
        <w:rPr>
          <w:rFonts w:eastAsia="Arial" w:cs="Arial"/>
          <w:i/>
          <w:iCs/>
          <w:color w:val="808080" w:themeColor="background1" w:themeShade="80"/>
        </w:rPr>
      </w:pPr>
      <w:r w:rsidRPr="00AC56B9">
        <w:rPr>
          <w:rFonts w:eastAsia="Arial" w:cs="Arial"/>
          <w:i/>
          <w:iCs/>
          <w:color w:val="808080" w:themeColor="background1" w:themeShade="80"/>
        </w:rPr>
        <w:t xml:space="preserve">Identificar los sectores o agentes que se pueden ver impactados (beneficiados o </w:t>
      </w:r>
    </w:p>
    <w:p w14:paraId="13B44ED0" w14:textId="69AD287A" w:rsidR="004B41ED" w:rsidRDefault="004B41ED" w:rsidP="00AC56B9">
      <w:pPr>
        <w:spacing w:before="0" w:after="0"/>
        <w:rPr>
          <w:rFonts w:eastAsia="Arial" w:cs="Arial"/>
        </w:rPr>
      </w:pPr>
      <w:r w:rsidRPr="00AC56B9">
        <w:rPr>
          <w:rFonts w:eastAsia="Arial" w:cs="Arial"/>
          <w:i/>
          <w:iCs/>
          <w:color w:val="808080" w:themeColor="background1" w:themeShade="80"/>
        </w:rPr>
        <w:t>perjudicados) con la modificación de la regulación y establecer cuál es el alcance de esa afectación para cada uno.</w:t>
      </w:r>
      <w:r w:rsidRPr="00D27413">
        <w:rPr>
          <w:rFonts w:eastAsia="Arial" w:cs="Arial"/>
          <w:i/>
          <w:iCs/>
        </w:rPr>
        <w:cr/>
      </w:r>
    </w:p>
    <w:p w14:paraId="493364C8" w14:textId="1544DAC5" w:rsidR="004B41ED" w:rsidRDefault="004B41ED" w:rsidP="008A6722">
      <w:pPr>
        <w:pStyle w:val="Ttulo1"/>
        <w:numPr>
          <w:ilvl w:val="0"/>
          <w:numId w:val="26"/>
        </w:numPr>
        <w:spacing w:before="0" w:after="0" w:line="360" w:lineRule="auto"/>
      </w:pPr>
      <w:bookmarkStart w:id="2" w:name="_Toc203926885"/>
      <w:r>
        <w:t>OBJETIVOS</w:t>
      </w:r>
      <w:bookmarkEnd w:id="2"/>
    </w:p>
    <w:p w14:paraId="0146EA2B" w14:textId="77777777" w:rsidR="00265F69" w:rsidRPr="00265F69" w:rsidRDefault="00265F69" w:rsidP="00265F69">
      <w:pPr>
        <w:spacing w:before="0" w:after="0"/>
      </w:pPr>
    </w:p>
    <w:p w14:paraId="4E68C975" w14:textId="5303A6A1" w:rsidR="1E7D44A0" w:rsidRDefault="1E7D44A0" w:rsidP="193187C3">
      <w:pPr>
        <w:spacing w:before="0" w:after="0"/>
        <w:jc w:val="both"/>
        <w:rPr>
          <w:rFonts w:eastAsia="Arial" w:cs="Arial"/>
          <w:i/>
          <w:iCs/>
          <w:color w:val="808080" w:themeColor="background1" w:themeShade="80"/>
        </w:rPr>
      </w:pPr>
      <w:r w:rsidRPr="193187C3">
        <w:rPr>
          <w:rFonts w:eastAsia="Arial" w:cs="Arial"/>
          <w:i/>
          <w:iCs/>
          <w:color w:val="808080" w:themeColor="background1" w:themeShade="80"/>
        </w:rPr>
        <w:t>Modificar el artículo 15 de la Resolución 2599 de 2016 con el fin de</w:t>
      </w:r>
      <w:r w:rsidR="00DC0370">
        <w:rPr>
          <w:rFonts w:eastAsia="Arial" w:cs="Arial"/>
          <w:i/>
          <w:iCs/>
          <w:color w:val="808080" w:themeColor="background1" w:themeShade="80"/>
        </w:rPr>
        <w:t xml:space="preserve"> </w:t>
      </w:r>
      <w:r w:rsidRPr="193187C3">
        <w:rPr>
          <w:rFonts w:eastAsia="Arial" w:cs="Arial"/>
          <w:i/>
          <w:iCs/>
          <w:color w:val="808080" w:themeColor="background1" w:themeShade="80"/>
        </w:rPr>
        <w:t>corregir la inconsistencia normativa identificada en la remisión al artículo 2.5.5.1.5 del Decreto 780 de 2016 y ajustar los requisitos para la selección de los agentes interventores, liquidadores y contralores.</w:t>
      </w:r>
    </w:p>
    <w:p w14:paraId="7F23324B" w14:textId="4BB4D07B" w:rsidR="193187C3" w:rsidRDefault="193187C3" w:rsidP="193187C3">
      <w:pPr>
        <w:spacing w:before="0" w:after="0"/>
        <w:jc w:val="both"/>
        <w:rPr>
          <w:rFonts w:eastAsia="Arial" w:cs="Arial"/>
          <w:i/>
          <w:iCs/>
          <w:color w:val="808080" w:themeColor="background1" w:themeShade="80"/>
        </w:rPr>
      </w:pPr>
    </w:p>
    <w:p w14:paraId="0F3D33F2" w14:textId="11CA9FC7" w:rsidR="35AB26E7" w:rsidRDefault="35AB26E7" w:rsidP="193187C3">
      <w:pPr>
        <w:spacing w:before="0" w:after="0"/>
        <w:jc w:val="both"/>
      </w:pPr>
      <w:r w:rsidRPr="193187C3">
        <w:rPr>
          <w:rFonts w:asciiTheme="minorHAnsi" w:eastAsiaTheme="majorEastAsia" w:hAnsiTheme="minorHAnsi" w:cstheme="majorBidi"/>
          <w:b/>
          <w:bCs/>
          <w:color w:val="365F91" w:themeColor="accent1" w:themeShade="BF"/>
          <w:sz w:val="32"/>
          <w:szCs w:val="32"/>
        </w:rPr>
        <w:lastRenderedPageBreak/>
        <w:t>Objetivos específicos</w:t>
      </w:r>
    </w:p>
    <w:p w14:paraId="0A718669" w14:textId="79EC36F0" w:rsidR="35AB26E7" w:rsidRDefault="35AB26E7" w:rsidP="193187C3">
      <w:pPr>
        <w:pStyle w:val="Prrafodelista"/>
        <w:numPr>
          <w:ilvl w:val="0"/>
          <w:numId w:val="3"/>
        </w:numPr>
        <w:spacing w:before="0" w:after="0"/>
        <w:jc w:val="both"/>
        <w:rPr>
          <w:rFonts w:eastAsia="Arial" w:cs="Arial"/>
          <w:i/>
          <w:iCs/>
          <w:color w:val="808080" w:themeColor="background1" w:themeShade="80"/>
        </w:rPr>
      </w:pPr>
      <w:r w:rsidRPr="193187C3">
        <w:rPr>
          <w:rFonts w:eastAsia="Arial" w:cs="Arial"/>
          <w:i/>
          <w:iCs/>
          <w:color w:val="808080" w:themeColor="background1" w:themeShade="80"/>
        </w:rPr>
        <w:t xml:space="preserve">Ampliar el alcance de los sectores de experiencia </w:t>
      </w:r>
      <w:r w:rsidR="00645AB7">
        <w:rPr>
          <w:rFonts w:eastAsia="Arial" w:cs="Arial"/>
          <w:i/>
          <w:iCs/>
          <w:color w:val="808080" w:themeColor="background1" w:themeShade="80"/>
        </w:rPr>
        <w:t>de los agentes especiales</w:t>
      </w:r>
      <w:r w:rsidRPr="193187C3">
        <w:rPr>
          <w:rFonts w:eastAsia="Arial" w:cs="Arial"/>
          <w:i/>
          <w:iCs/>
          <w:color w:val="808080" w:themeColor="background1" w:themeShade="80"/>
        </w:rPr>
        <w:t>, de manera que no se limite exclusivamente al sector salud, sino que incorpore conocimientos y competencias en los ámbitos comercial y financiero.</w:t>
      </w:r>
    </w:p>
    <w:p w14:paraId="1AA3C762" w14:textId="0900BB02" w:rsidR="35AB26E7" w:rsidRDefault="35AB26E7" w:rsidP="193187C3">
      <w:pPr>
        <w:pStyle w:val="Prrafodelista"/>
        <w:numPr>
          <w:ilvl w:val="0"/>
          <w:numId w:val="3"/>
        </w:numPr>
        <w:spacing w:before="0" w:after="0"/>
        <w:jc w:val="both"/>
        <w:rPr>
          <w:rFonts w:eastAsia="Arial" w:cs="Arial"/>
          <w:i/>
          <w:iCs/>
          <w:color w:val="808080" w:themeColor="background1" w:themeShade="80"/>
        </w:rPr>
      </w:pPr>
      <w:r w:rsidRPr="193187C3">
        <w:rPr>
          <w:rFonts w:eastAsia="Arial" w:cs="Arial"/>
          <w:i/>
          <w:iCs/>
          <w:color w:val="808080" w:themeColor="background1" w:themeShade="80"/>
        </w:rPr>
        <w:t>Alinear los requisitos de experiencia de</w:t>
      </w:r>
      <w:r w:rsidRPr="193187C3">
        <w:rPr>
          <w:rFonts w:eastAsia="Arial" w:cs="Arial"/>
          <w:i/>
          <w:iCs/>
          <w:color w:val="808080" w:themeColor="background1" w:themeShade="80"/>
        </w:rPr>
        <w:t xml:space="preserve">l </w:t>
      </w:r>
      <w:commentRangeStart w:id="3"/>
      <w:r w:rsidRPr="193187C3">
        <w:rPr>
          <w:rFonts w:eastAsia="Arial" w:cs="Arial"/>
          <w:i/>
          <w:iCs/>
          <w:color w:val="808080" w:themeColor="background1" w:themeShade="80"/>
        </w:rPr>
        <w:t xml:space="preserve">agente interventor </w:t>
      </w:r>
      <w:r w:rsidRPr="193187C3">
        <w:rPr>
          <w:rFonts w:eastAsia="Arial" w:cs="Arial"/>
          <w:i/>
          <w:iCs/>
          <w:color w:val="808080" w:themeColor="background1" w:themeShade="80"/>
        </w:rPr>
        <w:t>con los fines de la intervención forzosa administrativa</w:t>
      </w:r>
      <w:commentRangeEnd w:id="3"/>
      <w:r w:rsidR="004F54A2" w:rsidRPr="193187C3">
        <w:rPr>
          <w:rStyle w:val="Refdecomentario"/>
          <w:rFonts w:eastAsia="Arial" w:cs="Arial"/>
          <w:i/>
          <w:iCs/>
          <w:color w:val="808080" w:themeColor="background1" w:themeShade="80"/>
          <w:sz w:val="24"/>
          <w:szCs w:val="22"/>
        </w:rPr>
        <w:commentReference w:id="3"/>
      </w:r>
      <w:r w:rsidRPr="193187C3">
        <w:rPr>
          <w:rFonts w:eastAsia="Arial" w:cs="Arial"/>
          <w:i/>
          <w:iCs/>
          <w:color w:val="808080" w:themeColor="background1" w:themeShade="80"/>
        </w:rPr>
        <w:t>, asegurando que la medida cumpla su objetivo de subsanar las causales que dieron origen a la intervención y restablecer las condiciones para el adecuado desarrollo del objeto social de la entidad.</w:t>
      </w:r>
    </w:p>
    <w:p w14:paraId="086C76CB" w14:textId="56BE68A5" w:rsidR="35AB26E7" w:rsidRDefault="35AB26E7" w:rsidP="193187C3">
      <w:pPr>
        <w:pStyle w:val="Prrafodelista"/>
        <w:numPr>
          <w:ilvl w:val="0"/>
          <w:numId w:val="3"/>
        </w:numPr>
        <w:spacing w:before="0" w:after="0"/>
        <w:jc w:val="both"/>
        <w:rPr>
          <w:rFonts w:eastAsia="Arial" w:cs="Arial"/>
          <w:i/>
          <w:iCs/>
          <w:color w:val="808080" w:themeColor="background1" w:themeShade="80"/>
        </w:rPr>
      </w:pPr>
      <w:r w:rsidRPr="193187C3">
        <w:rPr>
          <w:rFonts w:eastAsia="Arial" w:cs="Arial"/>
          <w:i/>
          <w:iCs/>
          <w:color w:val="808080" w:themeColor="background1" w:themeShade="80"/>
        </w:rPr>
        <w:t>Optimizar la aplicación de los principios de celeridad, eficacia y economía de la función administrativa, ampliando el universo de perfiles idóneos disponibles para su designación.</w:t>
      </w:r>
    </w:p>
    <w:p w14:paraId="5C0A5C2B" w14:textId="77777777" w:rsidR="004B41ED" w:rsidRDefault="004B41ED" w:rsidP="00AC56B9">
      <w:pPr>
        <w:spacing w:before="0" w:after="0"/>
        <w:rPr>
          <w:rFonts w:eastAsia="Arial" w:cs="Arial"/>
        </w:rPr>
      </w:pPr>
    </w:p>
    <w:p w14:paraId="147EC3C0" w14:textId="77777777" w:rsidR="004B41ED" w:rsidRDefault="004B41ED" w:rsidP="00AC56B9">
      <w:pPr>
        <w:pStyle w:val="Ttulo1"/>
        <w:spacing w:before="0" w:after="0" w:line="360" w:lineRule="auto"/>
      </w:pPr>
      <w:bookmarkStart w:id="6" w:name="_Toc203926886"/>
      <w:r>
        <w:t>3.1 Alcance de la actualización de la regulación</w:t>
      </w:r>
      <w:bookmarkEnd w:id="6"/>
    </w:p>
    <w:p w14:paraId="7C96D584" w14:textId="0063AC5F" w:rsidR="24B76829" w:rsidRDefault="24B76829" w:rsidP="193187C3">
      <w:pPr>
        <w:pStyle w:val="Prrafodelista"/>
        <w:numPr>
          <w:ilvl w:val="0"/>
          <w:numId w:val="2"/>
        </w:numPr>
        <w:spacing w:before="0" w:after="0"/>
        <w:jc w:val="both"/>
        <w:rPr>
          <w:rFonts w:eastAsia="Arial" w:cs="Arial"/>
          <w:i/>
          <w:iCs/>
          <w:color w:val="808080" w:themeColor="background1" w:themeShade="80"/>
        </w:rPr>
      </w:pPr>
      <w:r w:rsidRPr="193187C3">
        <w:rPr>
          <w:rFonts w:eastAsia="Arial" w:cs="Arial"/>
          <w:b/>
          <w:bCs/>
          <w:i/>
          <w:iCs/>
          <w:color w:val="808080" w:themeColor="background1" w:themeShade="80"/>
        </w:rPr>
        <w:t xml:space="preserve">Agentes interventores: </w:t>
      </w:r>
      <w:r w:rsidRPr="193187C3">
        <w:rPr>
          <w:rFonts w:eastAsia="Arial" w:cs="Arial"/>
          <w:i/>
          <w:iCs/>
          <w:color w:val="808080" w:themeColor="background1" w:themeShade="80"/>
        </w:rPr>
        <w:t>Personas naturales que aspiran a ejercer o ejercen el rol de agentes interventores, quienes se verán beneficiados por la ampliación de los sectores de experiencia reconocidos, lo que permitirá la participación de profesionales con trayectorias relevantes en los ámbitos comercial y financiero. Esto contribuye a diversificar y fortalecer el universo de perfiles disponibles para su designación.</w:t>
      </w:r>
    </w:p>
    <w:p w14:paraId="0B4978C9" w14:textId="4AAC2EE4" w:rsidR="24B76829" w:rsidRDefault="24B76829" w:rsidP="193187C3">
      <w:pPr>
        <w:pStyle w:val="Prrafodelista"/>
        <w:numPr>
          <w:ilvl w:val="0"/>
          <w:numId w:val="2"/>
        </w:numPr>
        <w:spacing w:before="0" w:after="0"/>
        <w:jc w:val="both"/>
        <w:rPr>
          <w:rFonts w:eastAsia="Arial" w:cs="Arial"/>
          <w:i/>
          <w:iCs/>
          <w:color w:val="808080" w:themeColor="background1" w:themeShade="80"/>
        </w:rPr>
      </w:pPr>
      <w:r w:rsidRPr="193187C3">
        <w:rPr>
          <w:rFonts w:eastAsia="Arial" w:cs="Arial"/>
          <w:b/>
          <w:bCs/>
          <w:i/>
          <w:iCs/>
          <w:color w:val="808080" w:themeColor="background1" w:themeShade="80"/>
        </w:rPr>
        <w:t>Superintendencia Nacional de Salud</w:t>
      </w:r>
      <w:r w:rsidR="31DB11B2" w:rsidRPr="193187C3">
        <w:rPr>
          <w:rFonts w:eastAsia="Arial" w:cs="Arial"/>
          <w:b/>
          <w:bCs/>
          <w:i/>
          <w:iCs/>
          <w:color w:val="808080" w:themeColor="background1" w:themeShade="80"/>
        </w:rPr>
        <w:t>:</w:t>
      </w:r>
      <w:r w:rsidRPr="193187C3">
        <w:rPr>
          <w:rFonts w:eastAsia="Arial" w:cs="Arial"/>
          <w:i/>
          <w:iCs/>
          <w:color w:val="808080" w:themeColor="background1" w:themeShade="80"/>
        </w:rPr>
        <w:t xml:space="preserve"> En su calidad de autoridad encargada de la designación, seguimiento y control de los agentes interventores, la Superintendencia contará con mayores herramientas normativas para seleccionar perfiles idóneos, con competencias integrales </w:t>
      </w:r>
      <w:r w:rsidRPr="193187C3">
        <w:rPr>
          <w:rFonts w:eastAsia="Arial" w:cs="Arial"/>
          <w:i/>
          <w:iCs/>
          <w:color w:val="808080" w:themeColor="background1" w:themeShade="80"/>
        </w:rPr>
        <w:lastRenderedPageBreak/>
        <w:t>que faciliten una gestión más eficaz, oportuna y eficiente de las entidades sometidas a intervención forzosa administrativa.</w:t>
      </w:r>
    </w:p>
    <w:p w14:paraId="25580DBA" w14:textId="1852E278" w:rsidR="193187C3" w:rsidRDefault="193187C3" w:rsidP="193187C3">
      <w:pPr>
        <w:spacing w:before="0" w:after="0"/>
        <w:rPr>
          <w:rFonts w:eastAsia="Arial" w:cs="Arial"/>
          <w:i/>
          <w:iCs/>
          <w:color w:val="808080" w:themeColor="background1" w:themeShade="80"/>
        </w:rPr>
      </w:pPr>
    </w:p>
    <w:p w14:paraId="6F1D51E7" w14:textId="77777777" w:rsidR="004B41ED" w:rsidRPr="00AE1316" w:rsidRDefault="004B41ED" w:rsidP="00AC56B9">
      <w:pPr>
        <w:pStyle w:val="Ttulo1"/>
        <w:spacing w:before="0" w:after="0" w:line="360" w:lineRule="auto"/>
      </w:pPr>
      <w:bookmarkStart w:id="7" w:name="_Toc203926887"/>
      <w:r>
        <w:t>3.2. Objetivo de la actualización de la regulación</w:t>
      </w:r>
      <w:bookmarkEnd w:id="7"/>
      <w:r>
        <w:t xml:space="preserve"> </w:t>
      </w:r>
    </w:p>
    <w:p w14:paraId="6592A28B" w14:textId="77777777" w:rsidR="009057E6" w:rsidRDefault="009057E6" w:rsidP="009057E6">
      <w:pPr>
        <w:spacing w:before="0" w:after="0"/>
        <w:jc w:val="both"/>
        <w:rPr>
          <w:rFonts w:eastAsia="Arial" w:cs="Arial"/>
          <w:i/>
          <w:iCs/>
          <w:color w:val="808080" w:themeColor="background1" w:themeShade="80"/>
        </w:rPr>
      </w:pPr>
    </w:p>
    <w:p w14:paraId="1F7E0361" w14:textId="77777777" w:rsidR="00960ED6" w:rsidRDefault="6D878C50" w:rsidP="00960ED6">
      <w:pPr>
        <w:spacing w:before="0" w:after="0"/>
        <w:jc w:val="both"/>
        <w:rPr>
          <w:rFonts w:eastAsia="Arial" w:cs="Arial"/>
          <w:i/>
          <w:iCs/>
          <w:color w:val="808080" w:themeColor="background1" w:themeShade="80"/>
        </w:rPr>
      </w:pPr>
      <w:r w:rsidRPr="009057E6">
        <w:rPr>
          <w:rFonts w:eastAsia="Arial" w:cs="Arial"/>
          <w:i/>
          <w:iCs/>
          <w:color w:val="808080" w:themeColor="background1" w:themeShade="80"/>
        </w:rPr>
        <w:t xml:space="preserve">Modificar el artículo 15 de la Resolución 2599 de 2016 con el fin de: corregir la inconsistencia normativa identificada en la remisión al artículo 2.5.5.1.5 del Decreto 780 de 2016 y </w:t>
      </w:r>
      <w:r w:rsidR="009057E6" w:rsidRPr="009057E6">
        <w:rPr>
          <w:rFonts w:eastAsia="Arial" w:cs="Arial"/>
          <w:i/>
          <w:iCs/>
          <w:color w:val="808080" w:themeColor="background1" w:themeShade="80"/>
        </w:rPr>
        <w:t>ampliar el alcance de los sectores de experiencia del agente interventor, de manera que no se limite exclusivamente al sector salud, sino que incorpore conocimientos y competencias en los ámbitos comercial y financiero</w:t>
      </w:r>
      <w:r w:rsidR="00960ED6">
        <w:rPr>
          <w:rFonts w:eastAsia="Arial" w:cs="Arial"/>
          <w:i/>
          <w:iCs/>
          <w:color w:val="808080" w:themeColor="background1" w:themeShade="80"/>
        </w:rPr>
        <w:t xml:space="preserve">, </w:t>
      </w:r>
      <w:r w:rsidR="00960ED6" w:rsidRPr="193187C3">
        <w:rPr>
          <w:rFonts w:eastAsia="Arial" w:cs="Arial"/>
          <w:i/>
          <w:iCs/>
          <w:color w:val="808080" w:themeColor="background1" w:themeShade="80"/>
        </w:rPr>
        <w:t>que resultan determinantes para la adecuada toma de decisiones estratégicas y la administración eficiente de los recursos durante el desarrollo de la intervención</w:t>
      </w:r>
      <w:r w:rsidR="00960ED6">
        <w:rPr>
          <w:rFonts w:eastAsia="Arial" w:cs="Arial"/>
          <w:i/>
          <w:iCs/>
          <w:color w:val="808080" w:themeColor="background1" w:themeShade="80"/>
        </w:rPr>
        <w:t>.</w:t>
      </w:r>
    </w:p>
    <w:p w14:paraId="2842F7AF" w14:textId="688A3529" w:rsidR="6D878C50" w:rsidRDefault="6D878C50" w:rsidP="193187C3">
      <w:pPr>
        <w:spacing w:before="0" w:after="0"/>
        <w:jc w:val="both"/>
        <w:rPr>
          <w:rFonts w:eastAsia="Arial" w:cs="Arial"/>
          <w:i/>
          <w:iCs/>
          <w:color w:val="808080" w:themeColor="background1" w:themeShade="80"/>
        </w:rPr>
      </w:pPr>
    </w:p>
    <w:p w14:paraId="14936127" w14:textId="77777777" w:rsidR="004B41ED" w:rsidRDefault="004B41ED" w:rsidP="00AC56B9">
      <w:pPr>
        <w:spacing w:before="0" w:after="0"/>
      </w:pPr>
    </w:p>
    <w:p w14:paraId="444BD14F" w14:textId="050B16BA" w:rsidR="004B41ED" w:rsidRDefault="004B41ED" w:rsidP="008A6722">
      <w:pPr>
        <w:pStyle w:val="Ttulo1"/>
        <w:numPr>
          <w:ilvl w:val="0"/>
          <w:numId w:val="26"/>
        </w:numPr>
        <w:spacing w:before="0" w:after="0" w:line="360" w:lineRule="auto"/>
      </w:pPr>
      <w:bookmarkStart w:id="8" w:name="_Toc203926888"/>
      <w:r>
        <w:t>JUSTIFICACIÓN DE LA NECESIDAD</w:t>
      </w:r>
      <w:bookmarkEnd w:id="8"/>
    </w:p>
    <w:p w14:paraId="268746B2" w14:textId="77777777" w:rsidR="00960ED6" w:rsidRDefault="00960ED6" w:rsidP="193187C3">
      <w:pPr>
        <w:spacing w:before="0" w:after="0"/>
        <w:jc w:val="both"/>
        <w:rPr>
          <w:rFonts w:eastAsia="Arial" w:cs="Arial"/>
          <w:i/>
          <w:iCs/>
          <w:color w:val="808080" w:themeColor="background1" w:themeShade="80"/>
        </w:rPr>
      </w:pPr>
    </w:p>
    <w:p w14:paraId="4EEB5DDF" w14:textId="514D88D5" w:rsidR="299D2AD2" w:rsidRDefault="299D2AD2" w:rsidP="193187C3">
      <w:pPr>
        <w:spacing w:before="0" w:after="0"/>
        <w:jc w:val="both"/>
        <w:rPr>
          <w:rFonts w:eastAsia="Arial" w:cs="Arial"/>
          <w:i/>
          <w:iCs/>
          <w:color w:val="808080" w:themeColor="background1" w:themeShade="80"/>
        </w:rPr>
      </w:pPr>
      <w:r w:rsidRPr="193187C3">
        <w:rPr>
          <w:rFonts w:eastAsia="Arial" w:cs="Arial"/>
          <w:i/>
          <w:iCs/>
          <w:color w:val="808080" w:themeColor="background1" w:themeShade="80"/>
        </w:rPr>
        <w:t>En ejercicio de las funciones de inspección, vigilancia y control atribuidas a la Superintendencia Nacional de Salud por la Constitución Política y la normativa vigente, resulta necesario realizar ajustes periódicos al marco regulatorio que rige la adopción y ejecución de medidas especiales, con el fin de asegurar su correcta aplicación y su alineación con los objetivos de eficiencia, efectividad y oportunidad propios de la función administrativa.</w:t>
      </w:r>
    </w:p>
    <w:p w14:paraId="3ACC455E" w14:textId="47D05C78" w:rsidR="193187C3" w:rsidRDefault="193187C3" w:rsidP="193187C3">
      <w:pPr>
        <w:spacing w:before="0" w:after="0"/>
        <w:jc w:val="both"/>
        <w:rPr>
          <w:rFonts w:eastAsia="Arial" w:cs="Arial"/>
          <w:i/>
          <w:iCs/>
          <w:color w:val="808080" w:themeColor="background1" w:themeShade="80"/>
        </w:rPr>
      </w:pPr>
    </w:p>
    <w:p w14:paraId="1811AE55" w14:textId="28BFB3CF" w:rsidR="299D2AD2" w:rsidRDefault="299D2AD2" w:rsidP="193187C3">
      <w:pPr>
        <w:spacing w:before="0" w:after="0"/>
        <w:jc w:val="both"/>
        <w:rPr>
          <w:rFonts w:eastAsia="Arial" w:cs="Arial"/>
          <w:i/>
          <w:iCs/>
          <w:color w:val="808080" w:themeColor="background1" w:themeShade="80"/>
        </w:rPr>
      </w:pPr>
      <w:r w:rsidRPr="193187C3">
        <w:rPr>
          <w:rFonts w:eastAsia="Arial" w:cs="Arial"/>
          <w:i/>
          <w:iCs/>
          <w:color w:val="808080" w:themeColor="background1" w:themeShade="80"/>
        </w:rPr>
        <w:t xml:space="preserve">La Resolución 2599 de 2016 constituye un instrumento central para la regulación de aspectos relacionados con la inscripción, designación, ejercicio y seguimiento de los agentes interventores, liquidadores y contralores que actúan en el marco de </w:t>
      </w:r>
      <w:r w:rsidRPr="193187C3">
        <w:rPr>
          <w:rFonts w:eastAsia="Arial" w:cs="Arial"/>
          <w:i/>
          <w:iCs/>
          <w:color w:val="808080" w:themeColor="background1" w:themeShade="80"/>
        </w:rPr>
        <w:lastRenderedPageBreak/>
        <w:t>medidas de intervención forzosa administrativa. No obstante, la experiencia derivada de su aplicación ha puesto de relieve la conveniencia de realizar precisiones y ajustes orientados a optimizar los mecanismos de selección de estos agentes, atendiendo a las dinámicas actuales de las entidades vigiladas y a los retos que enfrenta la administración de organizaciones sometidas a medidas excepcionales.</w:t>
      </w:r>
    </w:p>
    <w:p w14:paraId="355F83FB" w14:textId="77777777" w:rsidR="00990035" w:rsidRDefault="00990035" w:rsidP="193187C3">
      <w:pPr>
        <w:spacing w:before="0" w:after="0"/>
        <w:jc w:val="both"/>
      </w:pPr>
    </w:p>
    <w:p w14:paraId="3F136CB8" w14:textId="55CE0198" w:rsidR="299D2AD2" w:rsidRDefault="299D2AD2" w:rsidP="193187C3">
      <w:pPr>
        <w:spacing w:before="0" w:after="0"/>
        <w:jc w:val="both"/>
      </w:pPr>
      <w:r w:rsidRPr="193187C3">
        <w:rPr>
          <w:rFonts w:eastAsia="Arial" w:cs="Arial"/>
          <w:i/>
          <w:iCs/>
          <w:color w:val="808080" w:themeColor="background1" w:themeShade="80"/>
        </w:rPr>
        <w:t>L</w:t>
      </w:r>
      <w:r w:rsidR="00C75D17">
        <w:rPr>
          <w:rFonts w:eastAsia="Arial" w:cs="Arial"/>
          <w:i/>
          <w:iCs/>
          <w:color w:val="808080" w:themeColor="background1" w:themeShade="80"/>
        </w:rPr>
        <w:t>as medidas especiales</w:t>
      </w:r>
      <w:r w:rsidR="00E435F9">
        <w:rPr>
          <w:rFonts w:eastAsia="Arial" w:cs="Arial"/>
          <w:i/>
          <w:iCs/>
          <w:color w:val="808080" w:themeColor="background1" w:themeShade="80"/>
        </w:rPr>
        <w:t xml:space="preserve"> y de intervención</w:t>
      </w:r>
      <w:r w:rsidR="00C75D17">
        <w:rPr>
          <w:rFonts w:eastAsia="Arial" w:cs="Arial"/>
          <w:i/>
          <w:iCs/>
          <w:color w:val="808080" w:themeColor="background1" w:themeShade="80"/>
        </w:rPr>
        <w:t xml:space="preserve"> </w:t>
      </w:r>
      <w:r w:rsidRPr="193187C3">
        <w:rPr>
          <w:rFonts w:eastAsia="Arial" w:cs="Arial"/>
          <w:i/>
          <w:iCs/>
          <w:color w:val="808080" w:themeColor="background1" w:themeShade="80"/>
        </w:rPr>
        <w:t>exige</w:t>
      </w:r>
      <w:r w:rsidR="00C75D17">
        <w:rPr>
          <w:rFonts w:eastAsia="Arial" w:cs="Arial"/>
          <w:i/>
          <w:iCs/>
          <w:color w:val="808080" w:themeColor="background1" w:themeShade="80"/>
        </w:rPr>
        <w:t>n</w:t>
      </w:r>
      <w:r w:rsidRPr="193187C3">
        <w:rPr>
          <w:rFonts w:eastAsia="Arial" w:cs="Arial"/>
          <w:i/>
          <w:iCs/>
          <w:color w:val="808080" w:themeColor="background1" w:themeShade="80"/>
        </w:rPr>
        <w:t xml:space="preserve"> condiciones que permitan a la autoridad de supervisión actuar de manera oportuna y eficaz, garantizando que las decisiones adoptadas durante la medida contribuyan efectivamente al restablecimiento de las condiciones necesarias para la continuidad y sostenibilidad de la entidad intervenida. En ese marco, la idoneidad del agente interventor resulta un elemento determinante para el logro de los fines de la intervención.</w:t>
      </w:r>
    </w:p>
    <w:p w14:paraId="64406665" w14:textId="77777777" w:rsidR="004B41ED" w:rsidRPr="00AC56B9" w:rsidRDefault="004B41ED" w:rsidP="00AC56B9">
      <w:pPr>
        <w:spacing w:before="0" w:after="0"/>
        <w:rPr>
          <w:rFonts w:eastAsia="Arial" w:cs="Arial"/>
          <w:i/>
          <w:iCs/>
          <w:color w:val="808080" w:themeColor="background1" w:themeShade="80"/>
        </w:rPr>
      </w:pPr>
    </w:p>
    <w:p w14:paraId="684C72C3" w14:textId="5645D2EB" w:rsidR="004B41ED" w:rsidRDefault="004B41ED" w:rsidP="008A6722">
      <w:pPr>
        <w:pStyle w:val="Ttulo1"/>
        <w:numPr>
          <w:ilvl w:val="0"/>
          <w:numId w:val="26"/>
        </w:numPr>
        <w:spacing w:before="0" w:after="0" w:line="360" w:lineRule="auto"/>
      </w:pPr>
      <w:bookmarkStart w:id="9" w:name="_Toc203926889"/>
      <w:r>
        <w:t>IMPLEMENTACION Y MONITOREO</w:t>
      </w:r>
      <w:bookmarkEnd w:id="9"/>
    </w:p>
    <w:p w14:paraId="66A20BB1" w14:textId="77777777" w:rsidR="00D36728" w:rsidRDefault="00D36728" w:rsidP="193187C3">
      <w:pPr>
        <w:spacing w:before="0" w:after="0"/>
        <w:rPr>
          <w:rFonts w:eastAsia="Arial" w:cs="Arial"/>
          <w:i/>
          <w:iCs/>
          <w:color w:val="808080" w:themeColor="background1" w:themeShade="80"/>
        </w:rPr>
      </w:pPr>
    </w:p>
    <w:p w14:paraId="59C22C70" w14:textId="2953FD6F" w:rsidR="004B41ED" w:rsidRPr="00172A98" w:rsidRDefault="004B41ED" w:rsidP="00172A98">
      <w:pPr>
        <w:spacing w:before="0" w:after="0"/>
        <w:jc w:val="both"/>
        <w:rPr>
          <w:rFonts w:eastAsia="Arial" w:cs="Arial"/>
          <w:i/>
          <w:iCs/>
          <w:color w:val="808080" w:themeColor="background1" w:themeShade="80"/>
        </w:rPr>
      </w:pPr>
      <w:r w:rsidRPr="00172A98">
        <w:rPr>
          <w:rFonts w:eastAsia="Arial" w:cs="Arial"/>
          <w:i/>
          <w:iCs/>
          <w:color w:val="808080" w:themeColor="background1" w:themeShade="80"/>
        </w:rPr>
        <w:t xml:space="preserve">El lineamiento o instrucción </w:t>
      </w:r>
      <w:r w:rsidR="00D36728" w:rsidRPr="00172A98">
        <w:rPr>
          <w:rFonts w:eastAsia="Arial" w:cs="Arial"/>
          <w:i/>
          <w:iCs/>
          <w:color w:val="808080" w:themeColor="background1" w:themeShade="80"/>
        </w:rPr>
        <w:t>objeto de modificación no</w:t>
      </w:r>
      <w:r w:rsidRPr="00172A98">
        <w:rPr>
          <w:rFonts w:eastAsia="Arial" w:cs="Arial"/>
          <w:i/>
          <w:iCs/>
          <w:color w:val="808080" w:themeColor="background1" w:themeShade="80"/>
        </w:rPr>
        <w:t xml:space="preserve"> tuvo AIN en su proceso de elaboración inicial</w:t>
      </w:r>
      <w:r w:rsidR="00D36728" w:rsidRPr="00172A98">
        <w:rPr>
          <w:rFonts w:eastAsia="Arial" w:cs="Arial"/>
          <w:i/>
          <w:iCs/>
          <w:color w:val="808080" w:themeColor="background1" w:themeShade="80"/>
        </w:rPr>
        <w:t>.</w:t>
      </w:r>
    </w:p>
    <w:p w14:paraId="418DEEA8" w14:textId="77777777" w:rsidR="00172A98" w:rsidRPr="00172A98" w:rsidRDefault="00172A98" w:rsidP="00172A98">
      <w:pPr>
        <w:spacing w:before="0" w:after="0"/>
        <w:jc w:val="both"/>
        <w:rPr>
          <w:rFonts w:eastAsia="Arial" w:cs="Arial"/>
          <w:i/>
          <w:iCs/>
          <w:color w:val="808080" w:themeColor="background1" w:themeShade="80"/>
        </w:rPr>
      </w:pPr>
    </w:p>
    <w:p w14:paraId="59D8484C" w14:textId="00E6126E" w:rsidR="00505218" w:rsidRDefault="00172A98" w:rsidP="00172A98">
      <w:pPr>
        <w:spacing w:before="0" w:after="0"/>
        <w:jc w:val="both"/>
        <w:rPr>
          <w:rFonts w:eastAsia="Arial" w:cs="Arial"/>
          <w:i/>
          <w:iCs/>
          <w:color w:val="808080" w:themeColor="background1" w:themeShade="80"/>
        </w:rPr>
      </w:pPr>
      <w:r w:rsidRPr="00172A98">
        <w:rPr>
          <w:rFonts w:eastAsia="Arial" w:cs="Arial"/>
          <w:i/>
          <w:iCs/>
          <w:color w:val="808080" w:themeColor="background1" w:themeShade="80"/>
        </w:rPr>
        <w:t xml:space="preserve">Por ende, </w:t>
      </w:r>
      <w:r w:rsidR="003A6516">
        <w:rPr>
          <w:rFonts w:eastAsia="Arial" w:cs="Arial"/>
          <w:i/>
          <w:iCs/>
          <w:color w:val="808080" w:themeColor="background1" w:themeShade="80"/>
        </w:rPr>
        <w:t xml:space="preserve">respecto de la corrección de la inconsistencia se validará que el acto </w:t>
      </w:r>
      <w:r w:rsidR="00505218">
        <w:rPr>
          <w:rFonts w:eastAsia="Arial" w:cs="Arial"/>
          <w:i/>
          <w:iCs/>
          <w:color w:val="808080" w:themeColor="background1" w:themeShade="80"/>
        </w:rPr>
        <w:t>administrativo</w:t>
      </w:r>
      <w:r w:rsidR="003A6516">
        <w:rPr>
          <w:rFonts w:eastAsia="Arial" w:cs="Arial"/>
          <w:i/>
          <w:iCs/>
          <w:color w:val="808080" w:themeColor="background1" w:themeShade="80"/>
        </w:rPr>
        <w:t xml:space="preserve"> definitivo y publicado contenga </w:t>
      </w:r>
      <w:r w:rsidR="00505218">
        <w:rPr>
          <w:rFonts w:eastAsia="Arial" w:cs="Arial"/>
          <w:i/>
          <w:iCs/>
          <w:color w:val="808080" w:themeColor="background1" w:themeShade="80"/>
        </w:rPr>
        <w:t>dicho ajuste y, en cuanto</w:t>
      </w:r>
      <w:r w:rsidR="00505218" w:rsidRPr="00505218">
        <w:rPr>
          <w:rFonts w:eastAsia="Arial" w:cs="Arial"/>
          <w:i/>
          <w:iCs/>
          <w:color w:val="808080" w:themeColor="background1" w:themeShade="80"/>
        </w:rPr>
        <w:t xml:space="preserve"> </w:t>
      </w:r>
      <w:r w:rsidR="00505218">
        <w:rPr>
          <w:rFonts w:eastAsia="Arial" w:cs="Arial"/>
          <w:i/>
          <w:iCs/>
          <w:color w:val="808080" w:themeColor="background1" w:themeShade="80"/>
        </w:rPr>
        <w:t xml:space="preserve">a </w:t>
      </w:r>
      <w:r w:rsidR="00505218" w:rsidRPr="009057E6">
        <w:rPr>
          <w:rFonts w:eastAsia="Arial" w:cs="Arial"/>
          <w:i/>
          <w:iCs/>
          <w:color w:val="808080" w:themeColor="background1" w:themeShade="80"/>
        </w:rPr>
        <w:t>ampliar el alcance de los sectores de experiencia del agente interventor, de manera que no se limite exclusivamente al sector salud, sino que incorpore conocimientos y competencias en los ámbitos comercial y financiero</w:t>
      </w:r>
      <w:r w:rsidR="00505218">
        <w:rPr>
          <w:rFonts w:eastAsia="Arial" w:cs="Arial"/>
          <w:i/>
          <w:iCs/>
          <w:color w:val="808080" w:themeColor="background1" w:themeShade="80"/>
        </w:rPr>
        <w:t xml:space="preserve">, </w:t>
      </w:r>
      <w:r w:rsidR="00B400C8">
        <w:rPr>
          <w:rFonts w:eastAsia="Arial" w:cs="Arial"/>
          <w:i/>
          <w:iCs/>
          <w:color w:val="808080" w:themeColor="background1" w:themeShade="80"/>
        </w:rPr>
        <w:t>se solicitará anualmente un reporte a las áreas</w:t>
      </w:r>
      <w:r w:rsidR="00B73272">
        <w:rPr>
          <w:rFonts w:eastAsia="Arial" w:cs="Arial"/>
          <w:i/>
          <w:iCs/>
          <w:color w:val="808080" w:themeColor="background1" w:themeShade="80"/>
        </w:rPr>
        <w:t xml:space="preserve"> misionales y </w:t>
      </w:r>
      <w:commentRangeStart w:id="10"/>
      <w:r w:rsidR="00B73272">
        <w:rPr>
          <w:rFonts w:eastAsia="Arial" w:cs="Arial"/>
          <w:i/>
          <w:iCs/>
          <w:color w:val="808080" w:themeColor="background1" w:themeShade="80"/>
        </w:rPr>
        <w:t xml:space="preserve">la oficina de liquidaciones </w:t>
      </w:r>
      <w:commentRangeEnd w:id="10"/>
      <w:r w:rsidR="006215B2">
        <w:rPr>
          <w:rStyle w:val="Refdecomentario"/>
          <w:rFonts w:eastAsia="Arial" w:cs="Arial"/>
          <w:i/>
          <w:iCs/>
          <w:color w:val="808080" w:themeColor="background1" w:themeShade="80"/>
          <w:sz w:val="24"/>
          <w:szCs w:val="22"/>
        </w:rPr>
        <w:commentReference w:id="10"/>
      </w:r>
      <w:commentRangeStart w:id="11"/>
      <w:r w:rsidR="002D0123">
        <w:rPr>
          <w:rFonts w:eastAsia="Arial" w:cs="Arial"/>
          <w:i/>
          <w:iCs/>
          <w:color w:val="808080" w:themeColor="background1" w:themeShade="80"/>
        </w:rPr>
        <w:t xml:space="preserve">un reporte consolidado </w:t>
      </w:r>
      <w:r w:rsidR="000534B4">
        <w:rPr>
          <w:rFonts w:eastAsia="Arial" w:cs="Arial"/>
          <w:i/>
          <w:iCs/>
          <w:color w:val="808080" w:themeColor="background1" w:themeShade="80"/>
        </w:rPr>
        <w:lastRenderedPageBreak/>
        <w:t xml:space="preserve">en el que se </w:t>
      </w:r>
      <w:r w:rsidR="00423CC4">
        <w:rPr>
          <w:rFonts w:eastAsia="Arial" w:cs="Arial"/>
          <w:i/>
          <w:iCs/>
          <w:color w:val="808080" w:themeColor="background1" w:themeShade="80"/>
        </w:rPr>
        <w:t>indique</w:t>
      </w:r>
      <w:r w:rsidR="000534B4">
        <w:rPr>
          <w:rFonts w:eastAsia="Arial" w:cs="Arial"/>
          <w:i/>
          <w:iCs/>
          <w:color w:val="808080" w:themeColor="background1" w:themeShade="80"/>
        </w:rPr>
        <w:t xml:space="preserve"> </w:t>
      </w:r>
      <w:r w:rsidR="000C3FDE">
        <w:rPr>
          <w:rFonts w:eastAsia="Arial" w:cs="Arial"/>
          <w:i/>
          <w:iCs/>
          <w:color w:val="808080" w:themeColor="background1" w:themeShade="80"/>
        </w:rPr>
        <w:t xml:space="preserve">el resultado de la evaluación </w:t>
      </w:r>
      <w:r w:rsidR="00E435F9">
        <w:rPr>
          <w:rFonts w:eastAsia="Arial" w:cs="Arial"/>
          <w:i/>
          <w:iCs/>
          <w:color w:val="808080" w:themeColor="background1" w:themeShade="80"/>
        </w:rPr>
        <w:t>de</w:t>
      </w:r>
      <w:r w:rsidR="000534B4">
        <w:rPr>
          <w:rFonts w:eastAsia="Arial" w:cs="Arial"/>
          <w:i/>
          <w:iCs/>
          <w:color w:val="808080" w:themeColor="background1" w:themeShade="80"/>
        </w:rPr>
        <w:t xml:space="preserve"> </w:t>
      </w:r>
      <w:r w:rsidR="0021166A">
        <w:rPr>
          <w:rFonts w:eastAsia="Arial" w:cs="Arial"/>
          <w:i/>
          <w:iCs/>
          <w:color w:val="808080" w:themeColor="background1" w:themeShade="80"/>
        </w:rPr>
        <w:t>la gestión de los agentes</w:t>
      </w:r>
      <w:r w:rsidR="00423CC4">
        <w:rPr>
          <w:rFonts w:eastAsia="Arial" w:cs="Arial"/>
          <w:i/>
          <w:iCs/>
          <w:color w:val="808080" w:themeColor="background1" w:themeShade="80"/>
        </w:rPr>
        <w:t xml:space="preserve"> designados en el marco de dichos ajustes</w:t>
      </w:r>
      <w:r w:rsidR="00E435F9">
        <w:rPr>
          <w:rFonts w:eastAsia="Arial" w:cs="Arial"/>
          <w:i/>
          <w:iCs/>
          <w:color w:val="808080" w:themeColor="background1" w:themeShade="80"/>
        </w:rPr>
        <w:t>.</w:t>
      </w:r>
      <w:commentRangeEnd w:id="11"/>
      <w:r w:rsidR="00E435F9">
        <w:rPr>
          <w:rStyle w:val="Refdecomentario"/>
          <w:rFonts w:eastAsia="Arial" w:cs="Arial"/>
          <w:i/>
          <w:iCs/>
          <w:color w:val="808080" w:themeColor="background1" w:themeShade="80"/>
          <w:sz w:val="24"/>
          <w:szCs w:val="22"/>
        </w:rPr>
        <w:commentReference w:id="11"/>
      </w:r>
    </w:p>
    <w:p w14:paraId="1C3BA1CF" w14:textId="77777777" w:rsidR="004B41ED" w:rsidRDefault="004B41ED" w:rsidP="00172A98">
      <w:pPr>
        <w:spacing w:before="0" w:after="0"/>
        <w:jc w:val="both"/>
        <w:rPr>
          <w:rFonts w:eastAsia="Arial" w:cs="Arial"/>
          <w:i/>
          <w:color w:val="808080" w:themeColor="background1" w:themeShade="80"/>
        </w:rPr>
      </w:pPr>
    </w:p>
    <w:p w14:paraId="45EF0495" w14:textId="0F4190F7" w:rsidR="004B41ED" w:rsidRDefault="004B41ED" w:rsidP="008A6722">
      <w:pPr>
        <w:pStyle w:val="Ttulo1"/>
        <w:numPr>
          <w:ilvl w:val="0"/>
          <w:numId w:val="26"/>
        </w:numPr>
        <w:spacing w:before="0" w:after="0" w:line="360" w:lineRule="auto"/>
      </w:pPr>
      <w:bookmarkStart w:id="14" w:name="_Toc203926890"/>
      <w:r>
        <w:t>CONSULTA PÚBLICA</w:t>
      </w:r>
      <w:bookmarkEnd w:id="14"/>
    </w:p>
    <w:p w14:paraId="4701B87F" w14:textId="7A8DFF4A" w:rsidR="008A6722" w:rsidRPr="005D7F84" w:rsidRDefault="3E7941C5" w:rsidP="193187C3">
      <w:pPr>
        <w:spacing w:before="0" w:after="0"/>
        <w:jc w:val="both"/>
      </w:pPr>
      <w:r w:rsidRPr="193187C3">
        <w:rPr>
          <w:rFonts w:eastAsia="Arial" w:cs="Arial"/>
          <w:i/>
          <w:iCs/>
          <w:color w:val="808080" w:themeColor="background1" w:themeShade="80"/>
        </w:rPr>
        <w:t xml:space="preserve">El proyecto de modificación de la Resolución </w:t>
      </w:r>
      <w:r w:rsidR="318AA426" w:rsidRPr="193187C3">
        <w:rPr>
          <w:rFonts w:eastAsia="Arial" w:cs="Arial"/>
          <w:i/>
          <w:iCs/>
          <w:color w:val="808080" w:themeColor="background1" w:themeShade="80"/>
        </w:rPr>
        <w:t xml:space="preserve">2599 de 2016, </w:t>
      </w:r>
      <w:r w:rsidRPr="193187C3">
        <w:rPr>
          <w:rFonts w:eastAsia="Arial" w:cs="Arial"/>
          <w:i/>
          <w:iCs/>
          <w:color w:val="808080" w:themeColor="background1" w:themeShade="80"/>
        </w:rPr>
        <w:t xml:space="preserve">será sometido a consulta pública a través </w:t>
      </w:r>
      <w:r w:rsidR="00FA7598">
        <w:rPr>
          <w:rFonts w:eastAsia="Arial" w:cs="Arial"/>
          <w:i/>
          <w:iCs/>
          <w:color w:val="808080" w:themeColor="background1" w:themeShade="80"/>
        </w:rPr>
        <w:t>de la página de la Superintendencia Nacional de Salud</w:t>
      </w:r>
      <w:r w:rsidRPr="193187C3">
        <w:rPr>
          <w:rFonts w:eastAsia="Arial" w:cs="Arial"/>
          <w:i/>
          <w:iCs/>
          <w:color w:val="808080" w:themeColor="background1" w:themeShade="80"/>
        </w:rPr>
        <w:t>.</w:t>
      </w:r>
    </w:p>
    <w:p w14:paraId="02B5B87F" w14:textId="196DE5C6" w:rsidR="008A6722" w:rsidRPr="005D7F84" w:rsidRDefault="3E7941C5" w:rsidP="193187C3">
      <w:pPr>
        <w:spacing w:before="0" w:after="0"/>
        <w:jc w:val="both"/>
      </w:pPr>
      <w:r w:rsidRPr="193187C3">
        <w:rPr>
          <w:rFonts w:eastAsia="Arial" w:cs="Arial"/>
          <w:i/>
          <w:iCs/>
          <w:color w:val="808080" w:themeColor="background1" w:themeShade="80"/>
        </w:rPr>
        <w:t>Los comentarios serán analizados y respondidos conforme al Decreto 1468 de 2020</w:t>
      </w:r>
      <w:r w:rsidR="515F1C94" w:rsidRPr="193187C3">
        <w:rPr>
          <w:rFonts w:eastAsia="Arial" w:cs="Arial"/>
          <w:i/>
          <w:iCs/>
          <w:color w:val="808080" w:themeColor="background1" w:themeShade="80"/>
        </w:rPr>
        <w:t>.</w:t>
      </w:r>
    </w:p>
    <w:p w14:paraId="150BAB82" w14:textId="1EBF0209" w:rsidR="193187C3" w:rsidRDefault="193187C3" w:rsidP="193187C3">
      <w:pPr>
        <w:spacing w:before="0" w:after="0"/>
        <w:jc w:val="both"/>
        <w:rPr>
          <w:rFonts w:eastAsia="Arial" w:cs="Arial"/>
          <w:i/>
          <w:iCs/>
          <w:color w:val="808080" w:themeColor="background1" w:themeShade="80"/>
        </w:rPr>
      </w:pPr>
    </w:p>
    <w:p w14:paraId="2821106E" w14:textId="12922810" w:rsidR="004B41ED" w:rsidRDefault="004B41ED" w:rsidP="008A6722">
      <w:pPr>
        <w:pStyle w:val="Ttulo1"/>
        <w:numPr>
          <w:ilvl w:val="0"/>
          <w:numId w:val="26"/>
        </w:numPr>
        <w:spacing w:before="0" w:after="0" w:line="360" w:lineRule="auto"/>
      </w:pPr>
      <w:bookmarkStart w:id="15" w:name="_Toc203926891"/>
      <w:r>
        <w:t>BIBLIOGRAFÍA</w:t>
      </w:r>
      <w:bookmarkEnd w:id="15"/>
    </w:p>
    <w:p w14:paraId="76DA679C" w14:textId="77777777" w:rsidR="004B41ED" w:rsidRPr="005D7F84" w:rsidRDefault="004B41ED" w:rsidP="193187C3">
      <w:pPr>
        <w:spacing w:before="0" w:after="0"/>
        <w:rPr>
          <w:rFonts w:eastAsia="Arial" w:cs="Arial"/>
          <w:i/>
          <w:iCs/>
          <w:color w:val="808080" w:themeColor="background1" w:themeShade="80"/>
        </w:rPr>
      </w:pPr>
      <w:r w:rsidRPr="005D7F84">
        <w:rPr>
          <w:rFonts w:eastAsia="Arial" w:cs="Arial"/>
          <w:i/>
          <w:iCs/>
          <w:color w:val="808080" w:themeColor="background1" w:themeShade="80"/>
        </w:rPr>
        <w:cr/>
      </w:r>
    </w:p>
    <w:p w14:paraId="117678E0" w14:textId="605D1EFE"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Parágrafo 2° del artículo 233 de la Ley 100 de 1993</w:t>
      </w:r>
    </w:p>
    <w:p w14:paraId="44B5D587" w14:textId="22309292"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Artículo 68 de la Ley 1753 de 2015</w:t>
      </w:r>
    </w:p>
    <w:p w14:paraId="29525224" w14:textId="383B384D"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Decreto-Ley 663 de 1993 (Estatuto Orgánico del Sistema Financiero)</w:t>
      </w:r>
    </w:p>
    <w:p w14:paraId="001F7F2F" w14:textId="2C80BB65"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Decreto 2555 de 2010</w:t>
      </w:r>
    </w:p>
    <w:p w14:paraId="0CA3B08E" w14:textId="7510FBE6"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Numeral 5 del artículo 291 y artículos 295 y 296 del Decreto 663 de 1993</w:t>
      </w:r>
    </w:p>
    <w:p w14:paraId="008F6952" w14:textId="3C435473"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Resolución 002599 de 2016</w:t>
      </w:r>
    </w:p>
    <w:p w14:paraId="44042292" w14:textId="0FFF15A8"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Decreto 1080 de 2021</w:t>
      </w:r>
    </w:p>
    <w:p w14:paraId="53E52E84" w14:textId="5EFDD437"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Resolución 002599 del 06 de septiembre de 2016</w:t>
      </w:r>
    </w:p>
    <w:p w14:paraId="665B4314" w14:textId="2B07D48C"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Resoluciones 011467 de 2018 y 005949 de 2019</w:t>
      </w:r>
    </w:p>
    <w:p w14:paraId="3D258823" w14:textId="4F252639" w:rsidR="32E1B9D8" w:rsidRDefault="32E1B9D8" w:rsidP="193187C3">
      <w:pPr>
        <w:pStyle w:val="Prrafodelista"/>
        <w:numPr>
          <w:ilvl w:val="0"/>
          <w:numId w:val="1"/>
        </w:numPr>
        <w:spacing w:before="0" w:after="0"/>
        <w:rPr>
          <w:rFonts w:eastAsia="Arial" w:cs="Arial"/>
          <w:i/>
          <w:iCs/>
          <w:color w:val="808080" w:themeColor="background1" w:themeShade="80"/>
        </w:rPr>
      </w:pPr>
      <w:r w:rsidRPr="193187C3">
        <w:rPr>
          <w:rFonts w:asciiTheme="minorHAnsi" w:eastAsiaTheme="minorEastAsia" w:hAnsiTheme="minorHAnsi"/>
          <w:i/>
          <w:iCs/>
          <w:color w:val="808080" w:themeColor="background1" w:themeShade="80"/>
          <w:szCs w:val="24"/>
        </w:rPr>
        <w:t>Resolución 2022100000008592-6 del 14 de diciembre de 2022</w:t>
      </w:r>
    </w:p>
    <w:p w14:paraId="33C5C103" w14:textId="77777777" w:rsidR="004B41ED" w:rsidRDefault="004B41ED" w:rsidP="193187C3">
      <w:pPr>
        <w:spacing w:before="0" w:after="0"/>
        <w:rPr>
          <w:rFonts w:eastAsia="Arial" w:cs="Arial"/>
          <w:i/>
          <w:iCs/>
          <w:color w:val="808080" w:themeColor="background1" w:themeShade="80"/>
        </w:rPr>
      </w:pPr>
    </w:p>
    <w:p w14:paraId="448A54F3" w14:textId="67C57C5C" w:rsidR="004B41ED" w:rsidRPr="00AE1316" w:rsidRDefault="004B41ED" w:rsidP="008A6722">
      <w:pPr>
        <w:pStyle w:val="Ttulo1"/>
        <w:numPr>
          <w:ilvl w:val="0"/>
          <w:numId w:val="26"/>
        </w:numPr>
        <w:spacing w:before="0" w:after="0" w:line="360" w:lineRule="auto"/>
      </w:pPr>
      <w:bookmarkStart w:id="16" w:name="_Toc203926892"/>
      <w:r>
        <w:t>ANEXOS</w:t>
      </w:r>
      <w:bookmarkEnd w:id="16"/>
    </w:p>
    <w:p w14:paraId="6ADC5636" w14:textId="28E5E326" w:rsidR="00DD134F" w:rsidRDefault="64D1B5ED" w:rsidP="00D738A1">
      <w:pPr>
        <w:spacing w:before="0" w:after="0"/>
        <w:rPr>
          <w:b/>
          <w:color w:val="000000" w:themeColor="text1"/>
          <w:sz w:val="36"/>
        </w:rPr>
      </w:pPr>
      <w:r w:rsidRPr="193187C3">
        <w:rPr>
          <w:rFonts w:eastAsia="Arial" w:cs="Arial"/>
          <w:i/>
          <w:iCs/>
          <w:color w:val="808080" w:themeColor="background1" w:themeShade="80"/>
        </w:rPr>
        <w:t>N/A</w:t>
      </w:r>
      <w:r w:rsidR="004B41ED" w:rsidRPr="193187C3">
        <w:rPr>
          <w:rFonts w:eastAsia="Arial" w:cs="Arial"/>
          <w:i/>
          <w:iCs/>
          <w:color w:val="808080" w:themeColor="background1" w:themeShade="80"/>
        </w:rPr>
        <w:t>.</w:t>
      </w:r>
    </w:p>
    <w:sectPr w:rsidR="00DD134F" w:rsidSect="00DF2ADA">
      <w:headerReference w:type="default" r:id="rId18"/>
      <w:footerReference w:type="default" r:id="rId19"/>
      <w:headerReference w:type="first" r:id="rId20"/>
      <w:footerReference w:type="first" r:id="rId21"/>
      <w:pgSz w:w="12240" w:h="15840"/>
      <w:pgMar w:top="1701" w:right="1701" w:bottom="1418" w:left="1701" w:header="0" w:footer="0"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SMIS" w:date="2026-04-27T18:14:00Z" w:initials="CAV">
    <w:p w14:paraId="38D0B46E" w14:textId="3E635999" w:rsidR="004F54A2" w:rsidRDefault="004F54A2" w:rsidP="004F54A2">
      <w:pPr>
        <w:pStyle w:val="Textocomentario"/>
      </w:pPr>
      <w:r>
        <w:rPr>
          <w:rStyle w:val="Refdecomentario"/>
        </w:rPr>
        <w:annotationRef/>
      </w:r>
      <w:r>
        <w:fldChar w:fldCharType="begin"/>
      </w:r>
      <w:r>
        <w:instrText>HYPERLINK "mailto:cindy.castillo@supersalud.gov.co"</w:instrText>
      </w:r>
      <w:bookmarkStart w:id="4" w:name="_@_C157B6A31B5D40CAA77C0011970C7287Z"/>
      <w:r>
        <w:fldChar w:fldCharType="separate"/>
      </w:r>
      <w:bookmarkEnd w:id="4"/>
      <w:r w:rsidRPr="004F54A2">
        <w:rPr>
          <w:rStyle w:val="Mencionar"/>
          <w:noProof/>
        </w:rPr>
        <w:t>@Cindy Carolina Castillo Parra</w:t>
      </w:r>
      <w:r>
        <w:fldChar w:fldCharType="end"/>
      </w:r>
      <w:r>
        <w:t xml:space="preserve"> Carito, lo iba a ajustar pero siempre me limita lo que plantea jurídica, pues de acuerdo con lo comentado debería indicarse, desde mi punto de vista:  </w:t>
      </w:r>
      <w:r>
        <w:rPr>
          <w:i/>
          <w:iCs/>
          <w:color w:val="808080"/>
        </w:rPr>
        <w:t xml:space="preserve">Alinear los requisitos de experiencia del agente especial con los fines de las medidas especiales e intervenciones, asegurando…” </w:t>
      </w:r>
      <w:r>
        <w:rPr>
          <w:i/>
          <w:iCs/>
          <w:color w:val="808080"/>
        </w:rPr>
        <w:fldChar w:fldCharType="begin"/>
      </w:r>
      <w:r>
        <w:rPr>
          <w:i/>
          <w:iCs/>
          <w:color w:val="808080"/>
        </w:rPr>
        <w:instrText>HYPERLINK "mailto:Jhovana.Rojas@supersalud.gov.co"</w:instrText>
      </w:r>
      <w:r>
        <w:rPr>
          <w:i/>
          <w:iCs/>
          <w:color w:val="808080"/>
        </w:rPr>
      </w:r>
      <w:bookmarkStart w:id="5" w:name="_@_6FD446B12D594B2299EF869092D5BBE8Z"/>
      <w:r>
        <w:rPr>
          <w:i/>
          <w:iCs/>
          <w:color w:val="808080"/>
        </w:rPr>
        <w:fldChar w:fldCharType="separate"/>
      </w:r>
      <w:bookmarkEnd w:id="5"/>
      <w:r w:rsidRPr="004F54A2">
        <w:rPr>
          <w:rStyle w:val="Mencionar"/>
          <w:i/>
          <w:iCs/>
          <w:noProof/>
        </w:rPr>
        <w:t>@Jhovana Constanza Rojas Cardona</w:t>
      </w:r>
      <w:r>
        <w:rPr>
          <w:i/>
          <w:iCs/>
          <w:color w:val="808080"/>
        </w:rPr>
        <w:fldChar w:fldCharType="end"/>
      </w:r>
      <w:r>
        <w:rPr>
          <w:i/>
          <w:iCs/>
          <w:color w:val="808080"/>
        </w:rPr>
        <w:t xml:space="preserve"> </w:t>
      </w:r>
    </w:p>
  </w:comment>
  <w:comment w:id="10" w:author="SMIS" w:date="2026-04-27T15:45:00Z" w:initials="CAV">
    <w:p w14:paraId="77EB6A8E" w14:textId="77777777" w:rsidR="006215B2" w:rsidRDefault="006215B2" w:rsidP="006215B2">
      <w:pPr>
        <w:pStyle w:val="Textocomentario"/>
      </w:pPr>
      <w:r>
        <w:rPr>
          <w:rStyle w:val="Refdecomentario"/>
        </w:rPr>
        <w:annotationRef/>
      </w:r>
      <w:r>
        <w:t>Debe validarse en línea con el comentario anterior respecto al aparte de jurídica en donde solo se hace referencia a intervención forzosa administrativa para administrar</w:t>
      </w:r>
    </w:p>
  </w:comment>
  <w:comment w:id="11" w:author="SMIS" w:date="2026-04-27T17:59:00Z" w:initials="CAV">
    <w:p w14:paraId="155DBCA9" w14:textId="16E03F17" w:rsidR="00E435F9" w:rsidRDefault="00E435F9" w:rsidP="00E435F9">
      <w:pPr>
        <w:pStyle w:val="Textocomentario"/>
      </w:pPr>
      <w:r>
        <w:rPr>
          <w:rStyle w:val="Refdecomentario"/>
        </w:rPr>
        <w:annotationRef/>
      </w:r>
      <w:r>
        <w:fldChar w:fldCharType="begin"/>
      </w:r>
      <w:r>
        <w:instrText>HYPERLINK "mailto:Jhovana.Rojas@supersalud.gov.co"</w:instrText>
      </w:r>
      <w:bookmarkStart w:id="12" w:name="_@_BD492AA8ED514805B2833A4A737DB500Z"/>
      <w:r>
        <w:fldChar w:fldCharType="separate"/>
      </w:r>
      <w:bookmarkEnd w:id="12"/>
      <w:r w:rsidRPr="00E435F9">
        <w:rPr>
          <w:rStyle w:val="Mencionar"/>
          <w:noProof/>
        </w:rPr>
        <w:t>@Jhovana Constanza Rojas Cardona</w:t>
      </w:r>
      <w:r>
        <w:fldChar w:fldCharType="end"/>
      </w:r>
      <w:r>
        <w:t xml:space="preserve"> </w:t>
      </w:r>
      <w:r>
        <w:fldChar w:fldCharType="begin"/>
      </w:r>
      <w:r>
        <w:instrText>HYPERLINK "mailto:cindy.castillo@supersalud.gov.co"</w:instrText>
      </w:r>
      <w:bookmarkStart w:id="13" w:name="_@_CD1321F008C344B2B5CADCCD795FAEAEZ"/>
      <w:r>
        <w:fldChar w:fldCharType="separate"/>
      </w:r>
      <w:bookmarkEnd w:id="13"/>
      <w:r w:rsidRPr="00E435F9">
        <w:rPr>
          <w:rStyle w:val="Mencionar"/>
          <w:noProof/>
        </w:rPr>
        <w:t>@Cindy Carolina Castillo Parra</w:t>
      </w:r>
      <w:r>
        <w:fldChar w:fldCharType="end"/>
      </w:r>
      <w:r>
        <w:t xml:space="preserve"> propuesta pero debe revisarse con pinzas pues debería derivar en un indicador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D0B46E" w15:done="0"/>
  <w15:commentEx w15:paraId="77EB6A8E" w15:done="0"/>
  <w15:commentEx w15:paraId="155DBC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B0870F" w16cex:dateUtc="2026-04-27T23:14:00Z"/>
  <w16cex:commentExtensible w16cex:durableId="5BCE5AA7" w16cex:dateUtc="2026-04-27T20:45:00Z"/>
  <w16cex:commentExtensible w16cex:durableId="0EA5FC6D" w16cex:dateUtc="2026-04-27T2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D0B46E" w16cid:durableId="5AB0870F"/>
  <w16cid:commentId w16cid:paraId="77EB6A8E" w16cid:durableId="5BCE5AA7"/>
  <w16cid:commentId w16cid:paraId="155DBCA9" w16cid:durableId="0EA5FC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E74A9" w14:textId="77777777" w:rsidR="00EB1865" w:rsidRDefault="00EB1865" w:rsidP="00CD6908">
      <w:pPr>
        <w:spacing w:after="0" w:line="240" w:lineRule="auto"/>
      </w:pPr>
      <w:r>
        <w:separator/>
      </w:r>
    </w:p>
  </w:endnote>
  <w:endnote w:type="continuationSeparator" w:id="0">
    <w:p w14:paraId="210925B6" w14:textId="77777777" w:rsidR="00EB1865" w:rsidRDefault="00EB1865"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2279" w14:textId="629BA544" w:rsidR="00524BF2" w:rsidRDefault="00524BF2">
    <w:pPr>
      <w:pStyle w:val="Piedepgina"/>
      <w:jc w:val="right"/>
    </w:pPr>
    <w:r w:rsidRPr="00D42328">
      <w:rPr>
        <w:sz w:val="20"/>
        <w:szCs w:val="20"/>
        <w:lang w:val="es-ES"/>
      </w:rPr>
      <w:t xml:space="preserve">pág. </w:t>
    </w:r>
    <w:r w:rsidRPr="00D42328">
      <w:rPr>
        <w:sz w:val="20"/>
        <w:szCs w:val="20"/>
      </w:rPr>
      <w:fldChar w:fldCharType="begin"/>
    </w:r>
    <w:r w:rsidRPr="00D42328">
      <w:rPr>
        <w:sz w:val="20"/>
        <w:szCs w:val="20"/>
      </w:rPr>
      <w:instrText>PAGE  \* Arabic</w:instrText>
    </w:r>
    <w:r w:rsidRPr="00D42328">
      <w:rPr>
        <w:sz w:val="20"/>
        <w:szCs w:val="20"/>
      </w:rPr>
      <w:fldChar w:fldCharType="separate"/>
    </w:r>
    <w:r w:rsidRPr="00D42328">
      <w:rPr>
        <w:sz w:val="20"/>
        <w:szCs w:val="20"/>
        <w:lang w:val="es-ES"/>
      </w:rPr>
      <w:t>1</w:t>
    </w:r>
    <w:r w:rsidRPr="00D42328">
      <w:rPr>
        <w:sz w:val="20"/>
        <w:szCs w:val="20"/>
      </w:rPr>
      <w:fldChar w:fldCharType="end"/>
    </w:r>
  </w:p>
  <w:p w14:paraId="3C2DBC0C" w14:textId="687EC6C0" w:rsidR="00524BF2" w:rsidRDefault="00524BF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6B853" w14:textId="77777777" w:rsidR="00DF2ADA" w:rsidRPr="00DF2ADA" w:rsidRDefault="00DF2ADA">
    <w:pPr>
      <w:pStyle w:val="Piedepgina"/>
      <w:jc w:val="right"/>
    </w:pPr>
    <w:r w:rsidRPr="00DF2ADA">
      <w:rPr>
        <w:sz w:val="20"/>
        <w:szCs w:val="20"/>
        <w:lang w:val="es-ES"/>
      </w:rPr>
      <w:t xml:space="preserve">pág. </w:t>
    </w:r>
    <w:r w:rsidRPr="00DF2ADA">
      <w:rPr>
        <w:sz w:val="20"/>
        <w:szCs w:val="20"/>
      </w:rPr>
      <w:fldChar w:fldCharType="begin"/>
    </w:r>
    <w:r w:rsidRPr="00DF2ADA">
      <w:rPr>
        <w:sz w:val="20"/>
        <w:szCs w:val="20"/>
      </w:rPr>
      <w:instrText>PAGE  \* Arabic</w:instrText>
    </w:r>
    <w:r w:rsidRPr="00DF2ADA">
      <w:rPr>
        <w:sz w:val="20"/>
        <w:szCs w:val="20"/>
      </w:rPr>
      <w:fldChar w:fldCharType="separate"/>
    </w:r>
    <w:r w:rsidRPr="00DF2ADA">
      <w:rPr>
        <w:sz w:val="20"/>
        <w:szCs w:val="20"/>
        <w:lang w:val="es-ES"/>
      </w:rPr>
      <w:t>1</w:t>
    </w:r>
    <w:r w:rsidRPr="00DF2ADA">
      <w:rPr>
        <w:sz w:val="20"/>
        <w:szCs w:val="20"/>
      </w:rPr>
      <w:fldChar w:fldCharType="end"/>
    </w:r>
  </w:p>
  <w:p w14:paraId="731F667D" w14:textId="77777777" w:rsidR="00DF2ADA" w:rsidRDefault="00DF2A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CF0D6" w14:textId="77777777" w:rsidR="00EB1865" w:rsidRDefault="00EB1865" w:rsidP="00CD6908">
      <w:pPr>
        <w:spacing w:after="0" w:line="240" w:lineRule="auto"/>
      </w:pPr>
      <w:r>
        <w:separator/>
      </w:r>
    </w:p>
  </w:footnote>
  <w:footnote w:type="continuationSeparator" w:id="0">
    <w:p w14:paraId="179DC1E2" w14:textId="77777777" w:rsidR="00EB1865" w:rsidRDefault="00EB1865"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13E3" w14:textId="6FFE4808" w:rsidR="00E34CD1" w:rsidRDefault="00E34CD1" w:rsidP="004D65AF">
    <w:pPr>
      <w:pStyle w:val="Encabezado"/>
      <w:ind w:left="-993"/>
      <w:jc w:val="right"/>
    </w:pPr>
  </w:p>
  <w:tbl>
    <w:tblPr>
      <w:tblStyle w:val="Tablaconcuadrcula"/>
      <w:tblW w:w="9505" w:type="dxa"/>
      <w:tblInd w:w="-341" w:type="dxa"/>
      <w:tblLook w:val="04A0" w:firstRow="1" w:lastRow="0" w:firstColumn="1" w:lastColumn="0" w:noHBand="0" w:noVBand="1"/>
    </w:tblPr>
    <w:tblGrid>
      <w:gridCol w:w="2268"/>
      <w:gridCol w:w="4678"/>
      <w:gridCol w:w="1218"/>
      <w:gridCol w:w="1341"/>
    </w:tblGrid>
    <w:tr w:rsidR="0026669E" w:rsidRPr="003622FD" w14:paraId="544B3ACB" w14:textId="77777777" w:rsidTr="5ACAFE6A">
      <w:trPr>
        <w:trHeight w:val="746"/>
      </w:trPr>
      <w:tc>
        <w:tcPr>
          <w:tcW w:w="2268" w:type="dxa"/>
          <w:tcBorders>
            <w:top w:val="single" w:sz="4" w:space="0" w:color="auto"/>
            <w:left w:val="single" w:sz="4" w:space="0" w:color="auto"/>
            <w:bottom w:val="nil"/>
            <w:right w:val="single" w:sz="4" w:space="0" w:color="auto"/>
          </w:tcBorders>
        </w:tcPr>
        <w:p w14:paraId="7AF5B810" w14:textId="77777777" w:rsidR="00DF2ADA" w:rsidRPr="003622FD" w:rsidRDefault="00DF2ADA" w:rsidP="00DF2ADA">
          <w:pPr>
            <w:pStyle w:val="Encabezado"/>
            <w:rPr>
              <w:rFonts w:cs="Arial"/>
              <w:b/>
              <w:bCs/>
              <w:sz w:val="22"/>
            </w:rPr>
          </w:pPr>
        </w:p>
      </w:tc>
      <w:tc>
        <w:tcPr>
          <w:tcW w:w="4678" w:type="dxa"/>
          <w:tcBorders>
            <w:top w:val="single" w:sz="4" w:space="0" w:color="auto"/>
            <w:left w:val="single" w:sz="4" w:space="0" w:color="auto"/>
            <w:right w:val="single" w:sz="4" w:space="0" w:color="auto"/>
          </w:tcBorders>
          <w:vAlign w:val="center"/>
        </w:tcPr>
        <w:p w14:paraId="3FA3498E" w14:textId="4C1F5151" w:rsidR="00DF2ADA" w:rsidRPr="003622FD" w:rsidRDefault="5ACAFE6A" w:rsidP="5ACAFE6A">
          <w:pPr>
            <w:pStyle w:val="Encabezado"/>
            <w:spacing w:before="0"/>
            <w:jc w:val="center"/>
            <w:rPr>
              <w:rFonts w:cs="Arial"/>
              <w:b/>
              <w:bCs/>
              <w:sz w:val="22"/>
            </w:rPr>
          </w:pPr>
          <w:r w:rsidRPr="5ACAFE6A">
            <w:rPr>
              <w:rFonts w:cs="Arial"/>
              <w:b/>
              <w:bCs/>
              <w:sz w:val="22"/>
            </w:rPr>
            <w:t>GESTIÓN DE LINEAMIENTOS, METODOLOGÍAS E INSTRUMENTOS PARA IVC</w:t>
          </w:r>
        </w:p>
      </w:tc>
      <w:tc>
        <w:tcPr>
          <w:tcW w:w="1218" w:type="dxa"/>
          <w:tcBorders>
            <w:left w:val="single" w:sz="4" w:space="0" w:color="auto"/>
          </w:tcBorders>
          <w:vAlign w:val="center"/>
        </w:tcPr>
        <w:p w14:paraId="76499D48" w14:textId="77777777" w:rsidR="00DF2ADA" w:rsidRPr="0016164F" w:rsidRDefault="00DF2ADA" w:rsidP="00DF2ADA">
          <w:pPr>
            <w:pStyle w:val="Encabezado"/>
            <w:spacing w:before="0"/>
            <w:jc w:val="center"/>
            <w:rPr>
              <w:rFonts w:cs="Arial"/>
              <w:b/>
              <w:bCs/>
              <w:sz w:val="20"/>
              <w:szCs w:val="20"/>
            </w:rPr>
          </w:pPr>
          <w:r w:rsidRPr="0016164F">
            <w:rPr>
              <w:rFonts w:cs="Arial"/>
              <w:b/>
              <w:bCs/>
              <w:sz w:val="20"/>
              <w:szCs w:val="20"/>
            </w:rPr>
            <w:t>CÓDIGO</w:t>
          </w:r>
        </w:p>
      </w:tc>
      <w:tc>
        <w:tcPr>
          <w:tcW w:w="1341" w:type="dxa"/>
          <w:vAlign w:val="center"/>
        </w:tcPr>
        <w:p w14:paraId="69734BE4" w14:textId="3BB12B24" w:rsidR="00DF2ADA" w:rsidRDefault="00DF2ADA" w:rsidP="00DF2ADA">
          <w:pPr>
            <w:pStyle w:val="Encabezado"/>
            <w:spacing w:before="0"/>
            <w:jc w:val="center"/>
            <w:rPr>
              <w:rFonts w:cs="Arial"/>
              <w:bCs/>
              <w:sz w:val="20"/>
              <w:szCs w:val="20"/>
            </w:rPr>
          </w:pPr>
          <w:r w:rsidRPr="00DF2ADA">
            <w:rPr>
              <w:rFonts w:cs="Arial"/>
              <w:bCs/>
              <w:sz w:val="20"/>
              <w:szCs w:val="20"/>
            </w:rPr>
            <w:t>E5-FT-6</w:t>
          </w:r>
        </w:p>
      </w:tc>
    </w:tr>
    <w:tr w:rsidR="0026669E" w:rsidRPr="003622FD" w14:paraId="26F9FDC1" w14:textId="77777777" w:rsidTr="5ACAFE6A">
      <w:trPr>
        <w:trHeight w:val="746"/>
      </w:trPr>
      <w:tc>
        <w:tcPr>
          <w:tcW w:w="2268" w:type="dxa"/>
          <w:tcBorders>
            <w:top w:val="nil"/>
            <w:left w:val="single" w:sz="4" w:space="0" w:color="auto"/>
            <w:bottom w:val="nil"/>
            <w:right w:val="single" w:sz="4" w:space="0" w:color="auto"/>
          </w:tcBorders>
        </w:tcPr>
        <w:p w14:paraId="651B6AFE" w14:textId="11E9C3C6" w:rsidR="00DF2ADA" w:rsidRPr="003622FD" w:rsidRDefault="00DF2ADA" w:rsidP="00DF2ADA">
          <w:pPr>
            <w:pStyle w:val="Encabezado"/>
            <w:rPr>
              <w:rFonts w:cs="Arial"/>
              <w:b/>
              <w:bCs/>
              <w:sz w:val="22"/>
            </w:rPr>
          </w:pPr>
          <w:r w:rsidRPr="003622FD">
            <w:rPr>
              <w:rFonts w:cs="Arial"/>
              <w:b/>
              <w:bCs/>
              <w:noProof/>
              <w:sz w:val="22"/>
            </w:rPr>
            <w:drawing>
              <wp:anchor distT="0" distB="0" distL="114300" distR="114300" simplePos="0" relativeHeight="251658240" behindDoc="0" locked="0" layoutInCell="1" allowOverlap="1" wp14:anchorId="50084371" wp14:editId="4C2B4F78">
                <wp:simplePos x="0" y="0"/>
                <wp:positionH relativeFrom="column">
                  <wp:posOffset>-37465</wp:posOffset>
                </wp:positionH>
                <wp:positionV relativeFrom="paragraph">
                  <wp:posOffset>-302260</wp:posOffset>
                </wp:positionV>
                <wp:extent cx="1374775" cy="904875"/>
                <wp:effectExtent l="0" t="0" r="0" b="0"/>
                <wp:wrapNone/>
                <wp:docPr id="1695601051" name="Imagen 169560105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a:extLst>
                            <a:ext uri="{C183D7F6-B498-43B3-948B-1728B52AA6E4}">
                              <adec:decorative xmlns:adec="http://schemas.microsoft.com/office/drawing/2017/decorative" val="1"/>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t="-8291" b="-11487"/>
                        <a:stretch/>
                      </pic:blipFill>
                      <pic:spPr bwMode="auto">
                        <a:xfrm>
                          <a:off x="0" y="0"/>
                          <a:ext cx="1374775" cy="904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678" w:type="dxa"/>
          <w:vMerge w:val="restart"/>
          <w:tcBorders>
            <w:left w:val="single" w:sz="4" w:space="0" w:color="auto"/>
            <w:right w:val="single" w:sz="4" w:space="0" w:color="auto"/>
          </w:tcBorders>
          <w:vAlign w:val="center"/>
        </w:tcPr>
        <w:p w14:paraId="67E47121" w14:textId="23DDD881" w:rsidR="00DF2ADA" w:rsidRPr="003622FD" w:rsidRDefault="00DF2ADA" w:rsidP="00DF2ADA">
          <w:pPr>
            <w:pStyle w:val="Encabezado"/>
            <w:spacing w:before="0"/>
            <w:jc w:val="center"/>
            <w:rPr>
              <w:rFonts w:cs="Arial"/>
              <w:b/>
              <w:bCs/>
              <w:sz w:val="22"/>
            </w:rPr>
          </w:pPr>
          <w:r>
            <w:rPr>
              <w:rFonts w:cs="Arial"/>
              <w:b/>
              <w:bCs/>
              <w:sz w:val="22"/>
            </w:rPr>
            <w:t>ANÁLISIS DE IMPACTO NORMATIVO SIMPLE</w:t>
          </w:r>
        </w:p>
      </w:tc>
      <w:tc>
        <w:tcPr>
          <w:tcW w:w="1218" w:type="dxa"/>
          <w:tcBorders>
            <w:left w:val="single" w:sz="4" w:space="0" w:color="auto"/>
          </w:tcBorders>
          <w:vAlign w:val="center"/>
        </w:tcPr>
        <w:p w14:paraId="41D4FD8B" w14:textId="77777777" w:rsidR="00DF2ADA" w:rsidRPr="0016164F" w:rsidRDefault="00DF2ADA" w:rsidP="00DF2ADA">
          <w:pPr>
            <w:pStyle w:val="Encabezado"/>
            <w:spacing w:before="0"/>
            <w:jc w:val="center"/>
            <w:rPr>
              <w:rFonts w:cs="Arial"/>
              <w:b/>
              <w:bCs/>
              <w:sz w:val="20"/>
              <w:szCs w:val="20"/>
            </w:rPr>
          </w:pPr>
          <w:r w:rsidRPr="0016164F">
            <w:rPr>
              <w:rFonts w:cs="Arial"/>
              <w:b/>
              <w:bCs/>
              <w:sz w:val="20"/>
              <w:szCs w:val="20"/>
            </w:rPr>
            <w:t>VERSIÓN</w:t>
          </w:r>
        </w:p>
      </w:tc>
      <w:tc>
        <w:tcPr>
          <w:tcW w:w="1341" w:type="dxa"/>
          <w:vAlign w:val="center"/>
        </w:tcPr>
        <w:p w14:paraId="699C8DC1" w14:textId="16D0C98A" w:rsidR="00DF2ADA" w:rsidRDefault="00DF2ADA" w:rsidP="00DF2ADA">
          <w:pPr>
            <w:pStyle w:val="Encabezado"/>
            <w:spacing w:before="0"/>
            <w:jc w:val="center"/>
            <w:rPr>
              <w:rFonts w:cs="Arial"/>
              <w:bCs/>
              <w:sz w:val="20"/>
              <w:szCs w:val="20"/>
            </w:rPr>
          </w:pPr>
          <w:r>
            <w:rPr>
              <w:rFonts w:cs="Arial"/>
              <w:bCs/>
              <w:sz w:val="20"/>
              <w:szCs w:val="20"/>
            </w:rPr>
            <w:t>1</w:t>
          </w:r>
        </w:p>
      </w:tc>
    </w:tr>
    <w:tr w:rsidR="0026669E" w:rsidRPr="003622FD" w14:paraId="79505F1D" w14:textId="77777777" w:rsidTr="5ACAFE6A">
      <w:trPr>
        <w:trHeight w:val="746"/>
      </w:trPr>
      <w:tc>
        <w:tcPr>
          <w:tcW w:w="2268" w:type="dxa"/>
          <w:tcBorders>
            <w:top w:val="nil"/>
            <w:left w:val="single" w:sz="4" w:space="0" w:color="auto"/>
            <w:bottom w:val="single" w:sz="4" w:space="0" w:color="auto"/>
            <w:right w:val="single" w:sz="4" w:space="0" w:color="auto"/>
          </w:tcBorders>
        </w:tcPr>
        <w:p w14:paraId="5F889B18" w14:textId="77777777" w:rsidR="00DF2ADA" w:rsidRPr="003622FD" w:rsidRDefault="00DF2ADA" w:rsidP="00DF2ADA">
          <w:pPr>
            <w:pStyle w:val="Encabezado"/>
            <w:rPr>
              <w:rFonts w:cs="Arial"/>
              <w:b/>
              <w:bCs/>
              <w:sz w:val="22"/>
            </w:rPr>
          </w:pPr>
        </w:p>
      </w:tc>
      <w:tc>
        <w:tcPr>
          <w:tcW w:w="4678" w:type="dxa"/>
          <w:vMerge/>
          <w:vAlign w:val="center"/>
        </w:tcPr>
        <w:p w14:paraId="16B2DA96" w14:textId="0E53EB84" w:rsidR="00DF2ADA" w:rsidRPr="003622FD" w:rsidRDefault="00DF2ADA" w:rsidP="00DF2ADA">
          <w:pPr>
            <w:pStyle w:val="Encabezado"/>
            <w:spacing w:before="0"/>
            <w:jc w:val="center"/>
            <w:rPr>
              <w:rFonts w:cs="Arial"/>
              <w:b/>
              <w:bCs/>
              <w:sz w:val="22"/>
            </w:rPr>
          </w:pPr>
        </w:p>
      </w:tc>
      <w:tc>
        <w:tcPr>
          <w:tcW w:w="1218" w:type="dxa"/>
          <w:tcBorders>
            <w:left w:val="single" w:sz="4" w:space="0" w:color="auto"/>
          </w:tcBorders>
          <w:vAlign w:val="center"/>
        </w:tcPr>
        <w:p w14:paraId="6678716D" w14:textId="7A0545C2" w:rsidR="00DF2ADA" w:rsidRPr="0016164F" w:rsidRDefault="00DF2ADA" w:rsidP="00DF2ADA">
          <w:pPr>
            <w:pStyle w:val="Encabezado"/>
            <w:spacing w:before="0"/>
            <w:jc w:val="center"/>
            <w:rPr>
              <w:rFonts w:cs="Arial"/>
              <w:b/>
              <w:bCs/>
              <w:sz w:val="20"/>
              <w:szCs w:val="20"/>
            </w:rPr>
          </w:pPr>
          <w:r w:rsidRPr="0016164F">
            <w:rPr>
              <w:rFonts w:cs="Arial"/>
              <w:b/>
              <w:bCs/>
              <w:sz w:val="20"/>
              <w:szCs w:val="20"/>
            </w:rPr>
            <w:t>FECHA</w:t>
          </w:r>
        </w:p>
      </w:tc>
      <w:tc>
        <w:tcPr>
          <w:tcW w:w="1341" w:type="dxa"/>
          <w:vAlign w:val="center"/>
        </w:tcPr>
        <w:p w14:paraId="1AE05811" w14:textId="1D772F0B" w:rsidR="00DF2ADA" w:rsidRDefault="5ACAFE6A" w:rsidP="5ACAFE6A">
          <w:pPr>
            <w:pStyle w:val="Encabezado"/>
            <w:spacing w:before="0"/>
            <w:jc w:val="center"/>
            <w:rPr>
              <w:rFonts w:cs="Arial"/>
              <w:sz w:val="20"/>
              <w:szCs w:val="20"/>
            </w:rPr>
          </w:pPr>
          <w:r w:rsidRPr="5ACAFE6A">
            <w:rPr>
              <w:rFonts w:cs="Arial"/>
              <w:sz w:val="20"/>
              <w:szCs w:val="20"/>
            </w:rPr>
            <w:t>31/03/2026</w:t>
          </w:r>
        </w:p>
      </w:tc>
    </w:tr>
  </w:tbl>
  <w:p w14:paraId="767F4E1F" w14:textId="77777777" w:rsidR="004D65AF" w:rsidRDefault="004D65AF" w:rsidP="00FC282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45"/>
      <w:gridCol w:w="2945"/>
      <w:gridCol w:w="2945"/>
    </w:tblGrid>
    <w:tr w:rsidR="5ACAFE6A" w14:paraId="2383AD98" w14:textId="77777777" w:rsidTr="5ACAFE6A">
      <w:trPr>
        <w:trHeight w:val="300"/>
      </w:trPr>
      <w:tc>
        <w:tcPr>
          <w:tcW w:w="2945" w:type="dxa"/>
        </w:tcPr>
        <w:p w14:paraId="1D5AA8D4" w14:textId="63E7D8AC" w:rsidR="5ACAFE6A" w:rsidRDefault="5ACAFE6A" w:rsidP="5ACAFE6A">
          <w:pPr>
            <w:pStyle w:val="Encabezado"/>
            <w:ind w:left="-115"/>
          </w:pPr>
        </w:p>
      </w:tc>
      <w:tc>
        <w:tcPr>
          <w:tcW w:w="2945" w:type="dxa"/>
        </w:tcPr>
        <w:p w14:paraId="696B51E9" w14:textId="7BE8ADC8" w:rsidR="5ACAFE6A" w:rsidRDefault="5ACAFE6A" w:rsidP="5ACAFE6A">
          <w:pPr>
            <w:pStyle w:val="Encabezado"/>
            <w:jc w:val="center"/>
          </w:pPr>
        </w:p>
      </w:tc>
      <w:tc>
        <w:tcPr>
          <w:tcW w:w="2945" w:type="dxa"/>
        </w:tcPr>
        <w:p w14:paraId="12A77276" w14:textId="0823791E" w:rsidR="5ACAFE6A" w:rsidRDefault="5ACAFE6A" w:rsidP="5ACAFE6A">
          <w:pPr>
            <w:pStyle w:val="Encabezado"/>
            <w:ind w:right="-115"/>
            <w:jc w:val="right"/>
          </w:pPr>
        </w:p>
      </w:tc>
    </w:tr>
  </w:tbl>
  <w:p w14:paraId="3DFEA082" w14:textId="4E9FF8ED" w:rsidR="5ACAFE6A" w:rsidRDefault="5ACAFE6A" w:rsidP="5ACAFE6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4C"/>
    <w:multiLevelType w:val="hybridMultilevel"/>
    <w:tmpl w:val="B48045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D237BA"/>
    <w:multiLevelType w:val="hybridMultilevel"/>
    <w:tmpl w:val="28D8423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52631CE"/>
    <w:multiLevelType w:val="hybridMultilevel"/>
    <w:tmpl w:val="5BC04C42"/>
    <w:lvl w:ilvl="0" w:tplc="CA8E4BE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917DB5"/>
    <w:multiLevelType w:val="hybridMultilevel"/>
    <w:tmpl w:val="D722BD3E"/>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15:restartNumberingAfterBreak="0">
    <w:nsid w:val="0F2129E4"/>
    <w:multiLevelType w:val="hybridMultilevel"/>
    <w:tmpl w:val="9B104A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352DFB"/>
    <w:multiLevelType w:val="hybridMultilevel"/>
    <w:tmpl w:val="9C1422A4"/>
    <w:lvl w:ilvl="0" w:tplc="4DF40A3C">
      <w:start w:val="1"/>
      <w:numFmt w:val="bullet"/>
      <w:lvlText w:val=""/>
      <w:lvlJc w:val="left"/>
      <w:pPr>
        <w:ind w:left="720" w:hanging="360"/>
      </w:pPr>
      <w:rPr>
        <w:rFonts w:ascii="Symbol" w:hAnsi="Symbol" w:hint="default"/>
      </w:rPr>
    </w:lvl>
    <w:lvl w:ilvl="1" w:tplc="E55815A6">
      <w:start w:val="1"/>
      <w:numFmt w:val="bullet"/>
      <w:lvlText w:val="o"/>
      <w:lvlJc w:val="left"/>
      <w:pPr>
        <w:ind w:left="1440" w:hanging="360"/>
      </w:pPr>
      <w:rPr>
        <w:rFonts w:ascii="Courier New" w:hAnsi="Courier New" w:hint="default"/>
      </w:rPr>
    </w:lvl>
    <w:lvl w:ilvl="2" w:tplc="F86E1C7A">
      <w:start w:val="1"/>
      <w:numFmt w:val="bullet"/>
      <w:lvlText w:val=""/>
      <w:lvlJc w:val="left"/>
      <w:pPr>
        <w:ind w:left="2160" w:hanging="360"/>
      </w:pPr>
      <w:rPr>
        <w:rFonts w:ascii="Wingdings" w:hAnsi="Wingdings" w:hint="default"/>
      </w:rPr>
    </w:lvl>
    <w:lvl w:ilvl="3" w:tplc="C16CDE1C">
      <w:start w:val="1"/>
      <w:numFmt w:val="bullet"/>
      <w:lvlText w:val=""/>
      <w:lvlJc w:val="left"/>
      <w:pPr>
        <w:ind w:left="2880" w:hanging="360"/>
      </w:pPr>
      <w:rPr>
        <w:rFonts w:ascii="Symbol" w:hAnsi="Symbol" w:hint="default"/>
      </w:rPr>
    </w:lvl>
    <w:lvl w:ilvl="4" w:tplc="9212662C">
      <w:start w:val="1"/>
      <w:numFmt w:val="bullet"/>
      <w:lvlText w:val="o"/>
      <w:lvlJc w:val="left"/>
      <w:pPr>
        <w:ind w:left="3600" w:hanging="360"/>
      </w:pPr>
      <w:rPr>
        <w:rFonts w:ascii="Courier New" w:hAnsi="Courier New" w:hint="default"/>
      </w:rPr>
    </w:lvl>
    <w:lvl w:ilvl="5" w:tplc="13920580">
      <w:start w:val="1"/>
      <w:numFmt w:val="bullet"/>
      <w:lvlText w:val=""/>
      <w:lvlJc w:val="left"/>
      <w:pPr>
        <w:ind w:left="4320" w:hanging="360"/>
      </w:pPr>
      <w:rPr>
        <w:rFonts w:ascii="Wingdings" w:hAnsi="Wingdings" w:hint="default"/>
      </w:rPr>
    </w:lvl>
    <w:lvl w:ilvl="6" w:tplc="733E87F4">
      <w:start w:val="1"/>
      <w:numFmt w:val="bullet"/>
      <w:lvlText w:val=""/>
      <w:lvlJc w:val="left"/>
      <w:pPr>
        <w:ind w:left="5040" w:hanging="360"/>
      </w:pPr>
      <w:rPr>
        <w:rFonts w:ascii="Symbol" w:hAnsi="Symbol" w:hint="default"/>
      </w:rPr>
    </w:lvl>
    <w:lvl w:ilvl="7" w:tplc="2CDA2E70">
      <w:start w:val="1"/>
      <w:numFmt w:val="bullet"/>
      <w:lvlText w:val="o"/>
      <w:lvlJc w:val="left"/>
      <w:pPr>
        <w:ind w:left="5760" w:hanging="360"/>
      </w:pPr>
      <w:rPr>
        <w:rFonts w:ascii="Courier New" w:hAnsi="Courier New" w:hint="default"/>
      </w:rPr>
    </w:lvl>
    <w:lvl w:ilvl="8" w:tplc="ECCCE736">
      <w:start w:val="1"/>
      <w:numFmt w:val="bullet"/>
      <w:lvlText w:val=""/>
      <w:lvlJc w:val="left"/>
      <w:pPr>
        <w:ind w:left="6480" w:hanging="360"/>
      </w:pPr>
      <w:rPr>
        <w:rFonts w:ascii="Wingdings" w:hAnsi="Wingdings" w:hint="default"/>
      </w:rPr>
    </w:lvl>
  </w:abstractNum>
  <w:abstractNum w:abstractNumId="6" w15:restartNumberingAfterBreak="0">
    <w:nsid w:val="13195445"/>
    <w:multiLevelType w:val="hybridMultilevel"/>
    <w:tmpl w:val="2CC6F48C"/>
    <w:lvl w:ilvl="0" w:tplc="DD5EFF56">
      <w:start w:val="1"/>
      <w:numFmt w:val="decimal"/>
      <w:lvlText w:val="%1."/>
      <w:lvlJc w:val="left"/>
      <w:pPr>
        <w:ind w:left="720" w:hanging="360"/>
      </w:pPr>
      <w:rPr>
        <w:rFonts w:eastAsiaTheme="majorEastAsia" w:cstheme="maj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7402126"/>
    <w:multiLevelType w:val="hybridMultilevel"/>
    <w:tmpl w:val="A59601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1F5B55"/>
    <w:multiLevelType w:val="hybridMultilevel"/>
    <w:tmpl w:val="B0CC3416"/>
    <w:lvl w:ilvl="0" w:tplc="64546D5A">
      <w:start w:val="1"/>
      <w:numFmt w:val="decimal"/>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EC65573"/>
    <w:multiLevelType w:val="hybridMultilevel"/>
    <w:tmpl w:val="AA3072D8"/>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2FA1745"/>
    <w:multiLevelType w:val="hybridMultilevel"/>
    <w:tmpl w:val="AE0CB3E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6A89C69"/>
    <w:multiLevelType w:val="hybridMultilevel"/>
    <w:tmpl w:val="A2902198"/>
    <w:lvl w:ilvl="0" w:tplc="4DF4E4D4">
      <w:start w:val="1"/>
      <w:numFmt w:val="bullet"/>
      <w:lvlText w:val=""/>
      <w:lvlJc w:val="left"/>
      <w:pPr>
        <w:ind w:left="720" w:hanging="360"/>
      </w:pPr>
      <w:rPr>
        <w:rFonts w:ascii="Symbol" w:hAnsi="Symbol" w:hint="default"/>
      </w:rPr>
    </w:lvl>
    <w:lvl w:ilvl="1" w:tplc="4216BD6E">
      <w:start w:val="1"/>
      <w:numFmt w:val="bullet"/>
      <w:lvlText w:val="o"/>
      <w:lvlJc w:val="left"/>
      <w:pPr>
        <w:ind w:left="1440" w:hanging="360"/>
      </w:pPr>
      <w:rPr>
        <w:rFonts w:ascii="Courier New" w:hAnsi="Courier New" w:hint="default"/>
      </w:rPr>
    </w:lvl>
    <w:lvl w:ilvl="2" w:tplc="D95AD646">
      <w:start w:val="1"/>
      <w:numFmt w:val="bullet"/>
      <w:lvlText w:val=""/>
      <w:lvlJc w:val="left"/>
      <w:pPr>
        <w:ind w:left="2160" w:hanging="360"/>
      </w:pPr>
      <w:rPr>
        <w:rFonts w:ascii="Wingdings" w:hAnsi="Wingdings" w:hint="default"/>
      </w:rPr>
    </w:lvl>
    <w:lvl w:ilvl="3" w:tplc="E5385C42">
      <w:start w:val="1"/>
      <w:numFmt w:val="bullet"/>
      <w:lvlText w:val=""/>
      <w:lvlJc w:val="left"/>
      <w:pPr>
        <w:ind w:left="2880" w:hanging="360"/>
      </w:pPr>
      <w:rPr>
        <w:rFonts w:ascii="Symbol" w:hAnsi="Symbol" w:hint="default"/>
      </w:rPr>
    </w:lvl>
    <w:lvl w:ilvl="4" w:tplc="C4BC1552">
      <w:start w:val="1"/>
      <w:numFmt w:val="bullet"/>
      <w:lvlText w:val="o"/>
      <w:lvlJc w:val="left"/>
      <w:pPr>
        <w:ind w:left="3600" w:hanging="360"/>
      </w:pPr>
      <w:rPr>
        <w:rFonts w:ascii="Courier New" w:hAnsi="Courier New" w:hint="default"/>
      </w:rPr>
    </w:lvl>
    <w:lvl w:ilvl="5" w:tplc="36023376">
      <w:start w:val="1"/>
      <w:numFmt w:val="bullet"/>
      <w:lvlText w:val=""/>
      <w:lvlJc w:val="left"/>
      <w:pPr>
        <w:ind w:left="4320" w:hanging="360"/>
      </w:pPr>
      <w:rPr>
        <w:rFonts w:ascii="Wingdings" w:hAnsi="Wingdings" w:hint="default"/>
      </w:rPr>
    </w:lvl>
    <w:lvl w:ilvl="6" w:tplc="98547700">
      <w:start w:val="1"/>
      <w:numFmt w:val="bullet"/>
      <w:lvlText w:val=""/>
      <w:lvlJc w:val="left"/>
      <w:pPr>
        <w:ind w:left="5040" w:hanging="360"/>
      </w:pPr>
      <w:rPr>
        <w:rFonts w:ascii="Symbol" w:hAnsi="Symbol" w:hint="default"/>
      </w:rPr>
    </w:lvl>
    <w:lvl w:ilvl="7" w:tplc="D7C40710">
      <w:start w:val="1"/>
      <w:numFmt w:val="bullet"/>
      <w:lvlText w:val="o"/>
      <w:lvlJc w:val="left"/>
      <w:pPr>
        <w:ind w:left="5760" w:hanging="360"/>
      </w:pPr>
      <w:rPr>
        <w:rFonts w:ascii="Courier New" w:hAnsi="Courier New" w:hint="default"/>
      </w:rPr>
    </w:lvl>
    <w:lvl w:ilvl="8" w:tplc="5574DA1E">
      <w:start w:val="1"/>
      <w:numFmt w:val="bullet"/>
      <w:lvlText w:val=""/>
      <w:lvlJc w:val="left"/>
      <w:pPr>
        <w:ind w:left="6480" w:hanging="360"/>
      </w:pPr>
      <w:rPr>
        <w:rFonts w:ascii="Wingdings" w:hAnsi="Wingdings" w:hint="default"/>
      </w:rPr>
    </w:lvl>
  </w:abstractNum>
  <w:abstractNum w:abstractNumId="12" w15:restartNumberingAfterBreak="0">
    <w:nsid w:val="39B5214E"/>
    <w:multiLevelType w:val="hybridMultilevel"/>
    <w:tmpl w:val="806C137A"/>
    <w:lvl w:ilvl="0" w:tplc="9AA2E6D0">
      <w:start w:val="1"/>
      <w:numFmt w:val="bullet"/>
      <w:lvlText w:val=""/>
      <w:lvlJc w:val="left"/>
      <w:pPr>
        <w:ind w:left="720" w:hanging="360"/>
      </w:pPr>
      <w:rPr>
        <w:rFonts w:ascii="Symbol" w:hAnsi="Symbol" w:hint="default"/>
      </w:rPr>
    </w:lvl>
    <w:lvl w:ilvl="1" w:tplc="48D6BD74">
      <w:start w:val="1"/>
      <w:numFmt w:val="bullet"/>
      <w:lvlText w:val="o"/>
      <w:lvlJc w:val="left"/>
      <w:pPr>
        <w:ind w:left="1440" w:hanging="360"/>
      </w:pPr>
      <w:rPr>
        <w:rFonts w:ascii="Courier New" w:hAnsi="Courier New" w:hint="default"/>
      </w:rPr>
    </w:lvl>
    <w:lvl w:ilvl="2" w:tplc="96245F6A">
      <w:start w:val="1"/>
      <w:numFmt w:val="bullet"/>
      <w:lvlText w:val=""/>
      <w:lvlJc w:val="left"/>
      <w:pPr>
        <w:ind w:left="2160" w:hanging="360"/>
      </w:pPr>
      <w:rPr>
        <w:rFonts w:ascii="Wingdings" w:hAnsi="Wingdings" w:hint="default"/>
      </w:rPr>
    </w:lvl>
    <w:lvl w:ilvl="3" w:tplc="C340F2D6">
      <w:start w:val="1"/>
      <w:numFmt w:val="bullet"/>
      <w:lvlText w:val=""/>
      <w:lvlJc w:val="left"/>
      <w:pPr>
        <w:ind w:left="2880" w:hanging="360"/>
      </w:pPr>
      <w:rPr>
        <w:rFonts w:ascii="Symbol" w:hAnsi="Symbol" w:hint="default"/>
      </w:rPr>
    </w:lvl>
    <w:lvl w:ilvl="4" w:tplc="B9C8AD16">
      <w:start w:val="1"/>
      <w:numFmt w:val="bullet"/>
      <w:lvlText w:val="o"/>
      <w:lvlJc w:val="left"/>
      <w:pPr>
        <w:ind w:left="3600" w:hanging="360"/>
      </w:pPr>
      <w:rPr>
        <w:rFonts w:ascii="Courier New" w:hAnsi="Courier New" w:hint="default"/>
      </w:rPr>
    </w:lvl>
    <w:lvl w:ilvl="5" w:tplc="A9523DF6">
      <w:start w:val="1"/>
      <w:numFmt w:val="bullet"/>
      <w:lvlText w:val=""/>
      <w:lvlJc w:val="left"/>
      <w:pPr>
        <w:ind w:left="4320" w:hanging="360"/>
      </w:pPr>
      <w:rPr>
        <w:rFonts w:ascii="Wingdings" w:hAnsi="Wingdings" w:hint="default"/>
      </w:rPr>
    </w:lvl>
    <w:lvl w:ilvl="6" w:tplc="56C8C8AE">
      <w:start w:val="1"/>
      <w:numFmt w:val="bullet"/>
      <w:lvlText w:val=""/>
      <w:lvlJc w:val="left"/>
      <w:pPr>
        <w:ind w:left="5040" w:hanging="360"/>
      </w:pPr>
      <w:rPr>
        <w:rFonts w:ascii="Symbol" w:hAnsi="Symbol" w:hint="default"/>
      </w:rPr>
    </w:lvl>
    <w:lvl w:ilvl="7" w:tplc="5292FD10">
      <w:start w:val="1"/>
      <w:numFmt w:val="bullet"/>
      <w:lvlText w:val="o"/>
      <w:lvlJc w:val="left"/>
      <w:pPr>
        <w:ind w:left="5760" w:hanging="360"/>
      </w:pPr>
      <w:rPr>
        <w:rFonts w:ascii="Courier New" w:hAnsi="Courier New" w:hint="default"/>
      </w:rPr>
    </w:lvl>
    <w:lvl w:ilvl="8" w:tplc="06DEE0EA">
      <w:start w:val="1"/>
      <w:numFmt w:val="bullet"/>
      <w:lvlText w:val=""/>
      <w:lvlJc w:val="left"/>
      <w:pPr>
        <w:ind w:left="6480" w:hanging="360"/>
      </w:pPr>
      <w:rPr>
        <w:rFonts w:ascii="Wingdings" w:hAnsi="Wingdings" w:hint="default"/>
      </w:rPr>
    </w:lvl>
  </w:abstractNum>
  <w:abstractNum w:abstractNumId="13" w15:restartNumberingAfterBreak="0">
    <w:nsid w:val="3B7F3D5B"/>
    <w:multiLevelType w:val="hybridMultilevel"/>
    <w:tmpl w:val="027A65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BEE5AB1"/>
    <w:multiLevelType w:val="hybridMultilevel"/>
    <w:tmpl w:val="EAB011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0B34845"/>
    <w:multiLevelType w:val="hybridMultilevel"/>
    <w:tmpl w:val="864A6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70364A"/>
    <w:multiLevelType w:val="hybridMultilevel"/>
    <w:tmpl w:val="E304A144"/>
    <w:lvl w:ilvl="0" w:tplc="CA8E4BE8">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8D8557A"/>
    <w:multiLevelType w:val="hybridMultilevel"/>
    <w:tmpl w:val="A82AE17E"/>
    <w:lvl w:ilvl="0" w:tplc="271CD164">
      <w:start w:val="1"/>
      <w:numFmt w:val="bullet"/>
      <w:pStyle w:val="Listas"/>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92543B8"/>
    <w:multiLevelType w:val="hybridMultilevel"/>
    <w:tmpl w:val="A55C4F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9B31FB4"/>
    <w:multiLevelType w:val="hybridMultilevel"/>
    <w:tmpl w:val="DC38F57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BDD21FE"/>
    <w:multiLevelType w:val="hybridMultilevel"/>
    <w:tmpl w:val="915AAD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E265879"/>
    <w:multiLevelType w:val="hybridMultilevel"/>
    <w:tmpl w:val="A04603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F673170"/>
    <w:multiLevelType w:val="hybridMultilevel"/>
    <w:tmpl w:val="894CC8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520999"/>
    <w:multiLevelType w:val="hybridMultilevel"/>
    <w:tmpl w:val="CD84BD4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5F723F"/>
    <w:multiLevelType w:val="hybridMultilevel"/>
    <w:tmpl w:val="B46E80C2"/>
    <w:lvl w:ilvl="0" w:tplc="218A299E">
      <w:start w:val="1"/>
      <w:numFmt w:val="bullet"/>
      <w:lvlText w:val=""/>
      <w:lvlJc w:val="left"/>
      <w:pPr>
        <w:ind w:left="720" w:hanging="360"/>
      </w:pPr>
      <w:rPr>
        <w:rFonts w:ascii="Symbol" w:hAnsi="Symbol" w:hint="default"/>
      </w:rPr>
    </w:lvl>
    <w:lvl w:ilvl="1" w:tplc="1172A87A">
      <w:start w:val="1"/>
      <w:numFmt w:val="bullet"/>
      <w:lvlText w:val="o"/>
      <w:lvlJc w:val="left"/>
      <w:pPr>
        <w:ind w:left="1440" w:hanging="360"/>
      </w:pPr>
      <w:rPr>
        <w:rFonts w:ascii="Courier New" w:hAnsi="Courier New" w:hint="default"/>
      </w:rPr>
    </w:lvl>
    <w:lvl w:ilvl="2" w:tplc="FC9A6198">
      <w:start w:val="1"/>
      <w:numFmt w:val="bullet"/>
      <w:lvlText w:val=""/>
      <w:lvlJc w:val="left"/>
      <w:pPr>
        <w:ind w:left="2160" w:hanging="360"/>
      </w:pPr>
      <w:rPr>
        <w:rFonts w:ascii="Wingdings" w:hAnsi="Wingdings" w:hint="default"/>
      </w:rPr>
    </w:lvl>
    <w:lvl w:ilvl="3" w:tplc="715C647C">
      <w:start w:val="1"/>
      <w:numFmt w:val="bullet"/>
      <w:lvlText w:val=""/>
      <w:lvlJc w:val="left"/>
      <w:pPr>
        <w:ind w:left="2880" w:hanging="360"/>
      </w:pPr>
      <w:rPr>
        <w:rFonts w:ascii="Symbol" w:hAnsi="Symbol" w:hint="default"/>
      </w:rPr>
    </w:lvl>
    <w:lvl w:ilvl="4" w:tplc="6BA4D1C8">
      <w:start w:val="1"/>
      <w:numFmt w:val="bullet"/>
      <w:lvlText w:val="o"/>
      <w:lvlJc w:val="left"/>
      <w:pPr>
        <w:ind w:left="3600" w:hanging="360"/>
      </w:pPr>
      <w:rPr>
        <w:rFonts w:ascii="Courier New" w:hAnsi="Courier New" w:hint="default"/>
      </w:rPr>
    </w:lvl>
    <w:lvl w:ilvl="5" w:tplc="7932168C">
      <w:start w:val="1"/>
      <w:numFmt w:val="bullet"/>
      <w:lvlText w:val=""/>
      <w:lvlJc w:val="left"/>
      <w:pPr>
        <w:ind w:left="4320" w:hanging="360"/>
      </w:pPr>
      <w:rPr>
        <w:rFonts w:ascii="Wingdings" w:hAnsi="Wingdings" w:hint="default"/>
      </w:rPr>
    </w:lvl>
    <w:lvl w:ilvl="6" w:tplc="6888BD1E">
      <w:start w:val="1"/>
      <w:numFmt w:val="bullet"/>
      <w:lvlText w:val=""/>
      <w:lvlJc w:val="left"/>
      <w:pPr>
        <w:ind w:left="5040" w:hanging="360"/>
      </w:pPr>
      <w:rPr>
        <w:rFonts w:ascii="Symbol" w:hAnsi="Symbol" w:hint="default"/>
      </w:rPr>
    </w:lvl>
    <w:lvl w:ilvl="7" w:tplc="A2DA0CDA">
      <w:start w:val="1"/>
      <w:numFmt w:val="bullet"/>
      <w:lvlText w:val="o"/>
      <w:lvlJc w:val="left"/>
      <w:pPr>
        <w:ind w:left="5760" w:hanging="360"/>
      </w:pPr>
      <w:rPr>
        <w:rFonts w:ascii="Courier New" w:hAnsi="Courier New" w:hint="default"/>
      </w:rPr>
    </w:lvl>
    <w:lvl w:ilvl="8" w:tplc="69E84B0C">
      <w:start w:val="1"/>
      <w:numFmt w:val="bullet"/>
      <w:lvlText w:val=""/>
      <w:lvlJc w:val="left"/>
      <w:pPr>
        <w:ind w:left="6480" w:hanging="360"/>
      </w:pPr>
      <w:rPr>
        <w:rFonts w:ascii="Wingdings" w:hAnsi="Wingdings" w:hint="default"/>
      </w:rPr>
    </w:lvl>
  </w:abstractNum>
  <w:abstractNum w:abstractNumId="25" w15:restartNumberingAfterBreak="0">
    <w:nsid w:val="78C8752A"/>
    <w:multiLevelType w:val="hybridMultilevel"/>
    <w:tmpl w:val="D83E59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76622292">
    <w:abstractNumId w:val="11"/>
  </w:num>
  <w:num w:numId="2" w16cid:durableId="942804156">
    <w:abstractNumId w:val="5"/>
  </w:num>
  <w:num w:numId="3" w16cid:durableId="620958611">
    <w:abstractNumId w:val="24"/>
  </w:num>
  <w:num w:numId="4" w16cid:durableId="1777944307">
    <w:abstractNumId w:val="12"/>
  </w:num>
  <w:num w:numId="5" w16cid:durableId="1238978309">
    <w:abstractNumId w:val="15"/>
  </w:num>
  <w:num w:numId="6" w16cid:durableId="666858293">
    <w:abstractNumId w:val="13"/>
  </w:num>
  <w:num w:numId="7" w16cid:durableId="988093790">
    <w:abstractNumId w:val="14"/>
  </w:num>
  <w:num w:numId="8" w16cid:durableId="536235149">
    <w:abstractNumId w:val="3"/>
  </w:num>
  <w:num w:numId="9" w16cid:durableId="1830098136">
    <w:abstractNumId w:val="17"/>
  </w:num>
  <w:num w:numId="10" w16cid:durableId="1548687757">
    <w:abstractNumId w:val="0"/>
  </w:num>
  <w:num w:numId="11" w16cid:durableId="837185265">
    <w:abstractNumId w:val="22"/>
  </w:num>
  <w:num w:numId="12" w16cid:durableId="421877869">
    <w:abstractNumId w:val="10"/>
  </w:num>
  <w:num w:numId="13" w16cid:durableId="1775901864">
    <w:abstractNumId w:val="19"/>
  </w:num>
  <w:num w:numId="14" w16cid:durableId="1228422226">
    <w:abstractNumId w:val="23"/>
  </w:num>
  <w:num w:numId="15" w16cid:durableId="1227493069">
    <w:abstractNumId w:val="21"/>
  </w:num>
  <w:num w:numId="16" w16cid:durableId="1412653732">
    <w:abstractNumId w:val="2"/>
  </w:num>
  <w:num w:numId="17" w16cid:durableId="2069767219">
    <w:abstractNumId w:val="16"/>
  </w:num>
  <w:num w:numId="18" w16cid:durableId="943923163">
    <w:abstractNumId w:val="25"/>
  </w:num>
  <w:num w:numId="19" w16cid:durableId="936673084">
    <w:abstractNumId w:val="20"/>
  </w:num>
  <w:num w:numId="20" w16cid:durableId="986277271">
    <w:abstractNumId w:val="18"/>
  </w:num>
  <w:num w:numId="21" w16cid:durableId="387846246">
    <w:abstractNumId w:val="9"/>
  </w:num>
  <w:num w:numId="22" w16cid:durableId="114326956">
    <w:abstractNumId w:val="4"/>
  </w:num>
  <w:num w:numId="23" w16cid:durableId="2004775786">
    <w:abstractNumId w:val="8"/>
  </w:num>
  <w:num w:numId="24" w16cid:durableId="2078282290">
    <w:abstractNumId w:val="1"/>
  </w:num>
  <w:num w:numId="25" w16cid:durableId="1721125609">
    <w:abstractNumId w:val="7"/>
  </w:num>
  <w:num w:numId="26" w16cid:durableId="16611540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MIS">
    <w15:presenceInfo w15:providerId="None" w15:userId="SM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300BE"/>
    <w:rsid w:val="000327E1"/>
    <w:rsid w:val="00037C0B"/>
    <w:rsid w:val="000445D2"/>
    <w:rsid w:val="00046ECF"/>
    <w:rsid w:val="0005164E"/>
    <w:rsid w:val="000534B4"/>
    <w:rsid w:val="000618F7"/>
    <w:rsid w:val="000762A7"/>
    <w:rsid w:val="00081E1A"/>
    <w:rsid w:val="00092A35"/>
    <w:rsid w:val="00092EA3"/>
    <w:rsid w:val="000933D8"/>
    <w:rsid w:val="00096ADF"/>
    <w:rsid w:val="000A07FE"/>
    <w:rsid w:val="000C31C6"/>
    <w:rsid w:val="000C3981"/>
    <w:rsid w:val="000C3FDE"/>
    <w:rsid w:val="000C5BDC"/>
    <w:rsid w:val="000E0FA8"/>
    <w:rsid w:val="000E172C"/>
    <w:rsid w:val="000E1902"/>
    <w:rsid w:val="000E58A9"/>
    <w:rsid w:val="000F176B"/>
    <w:rsid w:val="001012E0"/>
    <w:rsid w:val="001048B6"/>
    <w:rsid w:val="00106D5C"/>
    <w:rsid w:val="00115089"/>
    <w:rsid w:val="00121AC3"/>
    <w:rsid w:val="00121C52"/>
    <w:rsid w:val="001229A1"/>
    <w:rsid w:val="0014345B"/>
    <w:rsid w:val="001547DE"/>
    <w:rsid w:val="00156C5D"/>
    <w:rsid w:val="001601A3"/>
    <w:rsid w:val="0016164F"/>
    <w:rsid w:val="001679B5"/>
    <w:rsid w:val="0017216B"/>
    <w:rsid w:val="0017222E"/>
    <w:rsid w:val="00172A98"/>
    <w:rsid w:val="001835F3"/>
    <w:rsid w:val="00190B3C"/>
    <w:rsid w:val="00195CDA"/>
    <w:rsid w:val="001A78CD"/>
    <w:rsid w:val="001B6187"/>
    <w:rsid w:val="001B6733"/>
    <w:rsid w:val="001D0BA6"/>
    <w:rsid w:val="001D2DC4"/>
    <w:rsid w:val="001D32AE"/>
    <w:rsid w:val="001D3B0E"/>
    <w:rsid w:val="001E00E0"/>
    <w:rsid w:val="001E1E6D"/>
    <w:rsid w:val="001E3DB3"/>
    <w:rsid w:val="001E6A54"/>
    <w:rsid w:val="001F106A"/>
    <w:rsid w:val="001F5864"/>
    <w:rsid w:val="001F6C9E"/>
    <w:rsid w:val="0021166A"/>
    <w:rsid w:val="002162F4"/>
    <w:rsid w:val="00216E4A"/>
    <w:rsid w:val="00233FE2"/>
    <w:rsid w:val="00237626"/>
    <w:rsid w:val="002416AB"/>
    <w:rsid w:val="002452D8"/>
    <w:rsid w:val="00250E27"/>
    <w:rsid w:val="0026225A"/>
    <w:rsid w:val="00263638"/>
    <w:rsid w:val="00265F69"/>
    <w:rsid w:val="0026669E"/>
    <w:rsid w:val="0027094D"/>
    <w:rsid w:val="00271100"/>
    <w:rsid w:val="002717F5"/>
    <w:rsid w:val="00273F1E"/>
    <w:rsid w:val="00282E50"/>
    <w:rsid w:val="00284CAB"/>
    <w:rsid w:val="0028699D"/>
    <w:rsid w:val="00292CE5"/>
    <w:rsid w:val="0029437D"/>
    <w:rsid w:val="0029597B"/>
    <w:rsid w:val="002967AB"/>
    <w:rsid w:val="002A04AE"/>
    <w:rsid w:val="002A04BB"/>
    <w:rsid w:val="002A2667"/>
    <w:rsid w:val="002A2EDB"/>
    <w:rsid w:val="002A3665"/>
    <w:rsid w:val="002A6787"/>
    <w:rsid w:val="002B45EC"/>
    <w:rsid w:val="002C1478"/>
    <w:rsid w:val="002C2259"/>
    <w:rsid w:val="002C4320"/>
    <w:rsid w:val="002C4B01"/>
    <w:rsid w:val="002D0123"/>
    <w:rsid w:val="002D2520"/>
    <w:rsid w:val="002D2BAB"/>
    <w:rsid w:val="002D5A0C"/>
    <w:rsid w:val="002D7F94"/>
    <w:rsid w:val="002E2EC4"/>
    <w:rsid w:val="002E3FFA"/>
    <w:rsid w:val="002E72AA"/>
    <w:rsid w:val="002F5811"/>
    <w:rsid w:val="002F7E81"/>
    <w:rsid w:val="00302B27"/>
    <w:rsid w:val="003035BA"/>
    <w:rsid w:val="0031468F"/>
    <w:rsid w:val="00323671"/>
    <w:rsid w:val="00326EE8"/>
    <w:rsid w:val="00327884"/>
    <w:rsid w:val="003316A4"/>
    <w:rsid w:val="0035496E"/>
    <w:rsid w:val="00357C0F"/>
    <w:rsid w:val="0036699B"/>
    <w:rsid w:val="00370FD8"/>
    <w:rsid w:val="003763AD"/>
    <w:rsid w:val="003836D7"/>
    <w:rsid w:val="00384F74"/>
    <w:rsid w:val="00391573"/>
    <w:rsid w:val="00392452"/>
    <w:rsid w:val="00396951"/>
    <w:rsid w:val="00397FC4"/>
    <w:rsid w:val="003A2969"/>
    <w:rsid w:val="003A6516"/>
    <w:rsid w:val="003A661F"/>
    <w:rsid w:val="003B208C"/>
    <w:rsid w:val="003B28D1"/>
    <w:rsid w:val="003B6B6B"/>
    <w:rsid w:val="003C6662"/>
    <w:rsid w:val="003D0A3C"/>
    <w:rsid w:val="003D3053"/>
    <w:rsid w:val="003E44DE"/>
    <w:rsid w:val="003F32E7"/>
    <w:rsid w:val="003F372F"/>
    <w:rsid w:val="003F5145"/>
    <w:rsid w:val="003F5D79"/>
    <w:rsid w:val="003F6EFE"/>
    <w:rsid w:val="00400B06"/>
    <w:rsid w:val="00401737"/>
    <w:rsid w:val="00405EC7"/>
    <w:rsid w:val="00416A29"/>
    <w:rsid w:val="004178CD"/>
    <w:rsid w:val="00423CC4"/>
    <w:rsid w:val="00433085"/>
    <w:rsid w:val="00436C74"/>
    <w:rsid w:val="00440056"/>
    <w:rsid w:val="00441EB8"/>
    <w:rsid w:val="00443479"/>
    <w:rsid w:val="00455106"/>
    <w:rsid w:val="00460005"/>
    <w:rsid w:val="00461DC7"/>
    <w:rsid w:val="00465D20"/>
    <w:rsid w:val="00471B38"/>
    <w:rsid w:val="00472676"/>
    <w:rsid w:val="00480FBC"/>
    <w:rsid w:val="004865ED"/>
    <w:rsid w:val="00490CB6"/>
    <w:rsid w:val="004A0B59"/>
    <w:rsid w:val="004B0932"/>
    <w:rsid w:val="004B1310"/>
    <w:rsid w:val="004B17C8"/>
    <w:rsid w:val="004B41ED"/>
    <w:rsid w:val="004B644F"/>
    <w:rsid w:val="004B6BB7"/>
    <w:rsid w:val="004C24D8"/>
    <w:rsid w:val="004C70BD"/>
    <w:rsid w:val="004D1D6E"/>
    <w:rsid w:val="004D65AF"/>
    <w:rsid w:val="004F0AE8"/>
    <w:rsid w:val="004F54A2"/>
    <w:rsid w:val="004F7E26"/>
    <w:rsid w:val="005027DC"/>
    <w:rsid w:val="00505218"/>
    <w:rsid w:val="00505A43"/>
    <w:rsid w:val="005111F0"/>
    <w:rsid w:val="005116C6"/>
    <w:rsid w:val="005245DC"/>
    <w:rsid w:val="005247E9"/>
    <w:rsid w:val="00524BF2"/>
    <w:rsid w:val="00525EAD"/>
    <w:rsid w:val="00531D83"/>
    <w:rsid w:val="00535378"/>
    <w:rsid w:val="00546231"/>
    <w:rsid w:val="00551EAF"/>
    <w:rsid w:val="00552A84"/>
    <w:rsid w:val="0055704E"/>
    <w:rsid w:val="00581581"/>
    <w:rsid w:val="00586A2C"/>
    <w:rsid w:val="005873E4"/>
    <w:rsid w:val="00591AA7"/>
    <w:rsid w:val="00591E4E"/>
    <w:rsid w:val="00597B6F"/>
    <w:rsid w:val="005A1BC7"/>
    <w:rsid w:val="005B461D"/>
    <w:rsid w:val="005C19EC"/>
    <w:rsid w:val="005C4480"/>
    <w:rsid w:val="005D7F84"/>
    <w:rsid w:val="005E1EBB"/>
    <w:rsid w:val="005E2041"/>
    <w:rsid w:val="005E4D0D"/>
    <w:rsid w:val="005E5F46"/>
    <w:rsid w:val="005E7E66"/>
    <w:rsid w:val="005F36F5"/>
    <w:rsid w:val="00601202"/>
    <w:rsid w:val="00602A7F"/>
    <w:rsid w:val="00614597"/>
    <w:rsid w:val="006215B2"/>
    <w:rsid w:val="00626CEB"/>
    <w:rsid w:val="00645AB7"/>
    <w:rsid w:val="0065584B"/>
    <w:rsid w:val="0066486C"/>
    <w:rsid w:val="00673AEB"/>
    <w:rsid w:val="00681BFC"/>
    <w:rsid w:val="00697925"/>
    <w:rsid w:val="006A1159"/>
    <w:rsid w:val="006A3250"/>
    <w:rsid w:val="006A590A"/>
    <w:rsid w:val="006B1A06"/>
    <w:rsid w:val="006B1A7D"/>
    <w:rsid w:val="006B4ED8"/>
    <w:rsid w:val="006C00D0"/>
    <w:rsid w:val="006C2615"/>
    <w:rsid w:val="006C6AE4"/>
    <w:rsid w:val="006D17ED"/>
    <w:rsid w:val="006D2B31"/>
    <w:rsid w:val="006D2D4C"/>
    <w:rsid w:val="006D2ED3"/>
    <w:rsid w:val="006D4680"/>
    <w:rsid w:val="006E193C"/>
    <w:rsid w:val="006E20AE"/>
    <w:rsid w:val="006E3C24"/>
    <w:rsid w:val="006F2DAB"/>
    <w:rsid w:val="006F547E"/>
    <w:rsid w:val="006F6160"/>
    <w:rsid w:val="00700E06"/>
    <w:rsid w:val="007066E9"/>
    <w:rsid w:val="007136E5"/>
    <w:rsid w:val="00717F33"/>
    <w:rsid w:val="007204C2"/>
    <w:rsid w:val="00720E3A"/>
    <w:rsid w:val="007279E2"/>
    <w:rsid w:val="007311B2"/>
    <w:rsid w:val="00734951"/>
    <w:rsid w:val="0073623D"/>
    <w:rsid w:val="007416FD"/>
    <w:rsid w:val="00741C65"/>
    <w:rsid w:val="00751E87"/>
    <w:rsid w:val="00754431"/>
    <w:rsid w:val="00764557"/>
    <w:rsid w:val="00767956"/>
    <w:rsid w:val="0077490D"/>
    <w:rsid w:val="007775C9"/>
    <w:rsid w:val="00780168"/>
    <w:rsid w:val="00794DB7"/>
    <w:rsid w:val="007954F6"/>
    <w:rsid w:val="007A07BC"/>
    <w:rsid w:val="007A2846"/>
    <w:rsid w:val="007A6D05"/>
    <w:rsid w:val="007B04B0"/>
    <w:rsid w:val="007C3750"/>
    <w:rsid w:val="007C604E"/>
    <w:rsid w:val="007E385B"/>
    <w:rsid w:val="007F0111"/>
    <w:rsid w:val="007F284D"/>
    <w:rsid w:val="007F70B4"/>
    <w:rsid w:val="00811680"/>
    <w:rsid w:val="00812813"/>
    <w:rsid w:val="00814AF3"/>
    <w:rsid w:val="00815B3B"/>
    <w:rsid w:val="00820A0C"/>
    <w:rsid w:val="008273BE"/>
    <w:rsid w:val="00833408"/>
    <w:rsid w:val="008352E9"/>
    <w:rsid w:val="0084152C"/>
    <w:rsid w:val="00846B60"/>
    <w:rsid w:val="008531F5"/>
    <w:rsid w:val="00853DE3"/>
    <w:rsid w:val="00856960"/>
    <w:rsid w:val="00862523"/>
    <w:rsid w:val="0086442E"/>
    <w:rsid w:val="008718D3"/>
    <w:rsid w:val="00886223"/>
    <w:rsid w:val="008871EC"/>
    <w:rsid w:val="00892F81"/>
    <w:rsid w:val="008A3795"/>
    <w:rsid w:val="008A6722"/>
    <w:rsid w:val="008B586A"/>
    <w:rsid w:val="008D46F9"/>
    <w:rsid w:val="008D65A9"/>
    <w:rsid w:val="008E592A"/>
    <w:rsid w:val="008F6FA7"/>
    <w:rsid w:val="008F7E2B"/>
    <w:rsid w:val="009016C6"/>
    <w:rsid w:val="009039A6"/>
    <w:rsid w:val="009057E6"/>
    <w:rsid w:val="00906E02"/>
    <w:rsid w:val="00911913"/>
    <w:rsid w:val="00912112"/>
    <w:rsid w:val="0091741A"/>
    <w:rsid w:val="00924F3D"/>
    <w:rsid w:val="0093001A"/>
    <w:rsid w:val="009330B0"/>
    <w:rsid w:val="0093354B"/>
    <w:rsid w:val="0095096A"/>
    <w:rsid w:val="009522F4"/>
    <w:rsid w:val="009522FA"/>
    <w:rsid w:val="00952CEC"/>
    <w:rsid w:val="00954BCA"/>
    <w:rsid w:val="00955E9A"/>
    <w:rsid w:val="009561C4"/>
    <w:rsid w:val="00960ED6"/>
    <w:rsid w:val="0096432F"/>
    <w:rsid w:val="00990035"/>
    <w:rsid w:val="009A441F"/>
    <w:rsid w:val="009B324B"/>
    <w:rsid w:val="009B4804"/>
    <w:rsid w:val="009D315B"/>
    <w:rsid w:val="009D4844"/>
    <w:rsid w:val="009D561B"/>
    <w:rsid w:val="009E2590"/>
    <w:rsid w:val="009E5DD1"/>
    <w:rsid w:val="009F0B7E"/>
    <w:rsid w:val="009F34F9"/>
    <w:rsid w:val="009F4DB0"/>
    <w:rsid w:val="009F5AD1"/>
    <w:rsid w:val="00A02952"/>
    <w:rsid w:val="00A043D8"/>
    <w:rsid w:val="00A15E48"/>
    <w:rsid w:val="00A21786"/>
    <w:rsid w:val="00A345F1"/>
    <w:rsid w:val="00A3460F"/>
    <w:rsid w:val="00A36D0D"/>
    <w:rsid w:val="00A415A9"/>
    <w:rsid w:val="00A4778C"/>
    <w:rsid w:val="00A52095"/>
    <w:rsid w:val="00A54751"/>
    <w:rsid w:val="00A563D9"/>
    <w:rsid w:val="00A63484"/>
    <w:rsid w:val="00A712A8"/>
    <w:rsid w:val="00A801C8"/>
    <w:rsid w:val="00A8200E"/>
    <w:rsid w:val="00A979AB"/>
    <w:rsid w:val="00AA2192"/>
    <w:rsid w:val="00AA7947"/>
    <w:rsid w:val="00AB0A16"/>
    <w:rsid w:val="00AC148F"/>
    <w:rsid w:val="00AC38C7"/>
    <w:rsid w:val="00AC56B9"/>
    <w:rsid w:val="00AC5F85"/>
    <w:rsid w:val="00AC7B9C"/>
    <w:rsid w:val="00AD1970"/>
    <w:rsid w:val="00AD6353"/>
    <w:rsid w:val="00AE0AB7"/>
    <w:rsid w:val="00AE1294"/>
    <w:rsid w:val="00AF0459"/>
    <w:rsid w:val="00AF127C"/>
    <w:rsid w:val="00AF60D5"/>
    <w:rsid w:val="00AF7CBF"/>
    <w:rsid w:val="00B0071F"/>
    <w:rsid w:val="00B02F2C"/>
    <w:rsid w:val="00B03366"/>
    <w:rsid w:val="00B052E3"/>
    <w:rsid w:val="00B05B74"/>
    <w:rsid w:val="00B05E44"/>
    <w:rsid w:val="00B115B0"/>
    <w:rsid w:val="00B12CC4"/>
    <w:rsid w:val="00B15505"/>
    <w:rsid w:val="00B21873"/>
    <w:rsid w:val="00B34780"/>
    <w:rsid w:val="00B400C8"/>
    <w:rsid w:val="00B41D8D"/>
    <w:rsid w:val="00B52205"/>
    <w:rsid w:val="00B52707"/>
    <w:rsid w:val="00B73272"/>
    <w:rsid w:val="00B7410C"/>
    <w:rsid w:val="00B75E4D"/>
    <w:rsid w:val="00B774EA"/>
    <w:rsid w:val="00B822A1"/>
    <w:rsid w:val="00B96754"/>
    <w:rsid w:val="00BA031B"/>
    <w:rsid w:val="00BA7BAA"/>
    <w:rsid w:val="00BB1D1C"/>
    <w:rsid w:val="00BC3EB2"/>
    <w:rsid w:val="00BC4F34"/>
    <w:rsid w:val="00BE17B5"/>
    <w:rsid w:val="00BE32F1"/>
    <w:rsid w:val="00BF0286"/>
    <w:rsid w:val="00BF08DE"/>
    <w:rsid w:val="00BF273B"/>
    <w:rsid w:val="00BF6201"/>
    <w:rsid w:val="00C1555A"/>
    <w:rsid w:val="00C16B28"/>
    <w:rsid w:val="00C222C4"/>
    <w:rsid w:val="00C2368A"/>
    <w:rsid w:val="00C336EA"/>
    <w:rsid w:val="00C514D8"/>
    <w:rsid w:val="00C56072"/>
    <w:rsid w:val="00C57715"/>
    <w:rsid w:val="00C61BA7"/>
    <w:rsid w:val="00C75D17"/>
    <w:rsid w:val="00C94EC1"/>
    <w:rsid w:val="00CA479B"/>
    <w:rsid w:val="00CA7E46"/>
    <w:rsid w:val="00CB1405"/>
    <w:rsid w:val="00CB669E"/>
    <w:rsid w:val="00CD6908"/>
    <w:rsid w:val="00CE6C51"/>
    <w:rsid w:val="00D024A7"/>
    <w:rsid w:val="00D05366"/>
    <w:rsid w:val="00D06554"/>
    <w:rsid w:val="00D0736C"/>
    <w:rsid w:val="00D16708"/>
    <w:rsid w:val="00D2036D"/>
    <w:rsid w:val="00D26DBB"/>
    <w:rsid w:val="00D271EC"/>
    <w:rsid w:val="00D30B13"/>
    <w:rsid w:val="00D36728"/>
    <w:rsid w:val="00D40C84"/>
    <w:rsid w:val="00D40E8D"/>
    <w:rsid w:val="00D42328"/>
    <w:rsid w:val="00D460AB"/>
    <w:rsid w:val="00D4793F"/>
    <w:rsid w:val="00D504D7"/>
    <w:rsid w:val="00D52F69"/>
    <w:rsid w:val="00D5513F"/>
    <w:rsid w:val="00D738A1"/>
    <w:rsid w:val="00D76772"/>
    <w:rsid w:val="00D83AD6"/>
    <w:rsid w:val="00D8682E"/>
    <w:rsid w:val="00DA017B"/>
    <w:rsid w:val="00DA4597"/>
    <w:rsid w:val="00DA4E44"/>
    <w:rsid w:val="00DA73E8"/>
    <w:rsid w:val="00DB1632"/>
    <w:rsid w:val="00DB634A"/>
    <w:rsid w:val="00DC0370"/>
    <w:rsid w:val="00DC1BAF"/>
    <w:rsid w:val="00DD134F"/>
    <w:rsid w:val="00DD4DB9"/>
    <w:rsid w:val="00DD61D4"/>
    <w:rsid w:val="00DD7300"/>
    <w:rsid w:val="00DE3C88"/>
    <w:rsid w:val="00DF001B"/>
    <w:rsid w:val="00DF2ADA"/>
    <w:rsid w:val="00DF3FBE"/>
    <w:rsid w:val="00E02620"/>
    <w:rsid w:val="00E052D4"/>
    <w:rsid w:val="00E06C0B"/>
    <w:rsid w:val="00E12E17"/>
    <w:rsid w:val="00E14F5F"/>
    <w:rsid w:val="00E17CF9"/>
    <w:rsid w:val="00E27972"/>
    <w:rsid w:val="00E344BB"/>
    <w:rsid w:val="00E34CD1"/>
    <w:rsid w:val="00E435F9"/>
    <w:rsid w:val="00E43E78"/>
    <w:rsid w:val="00E52085"/>
    <w:rsid w:val="00E57331"/>
    <w:rsid w:val="00E57E20"/>
    <w:rsid w:val="00E661EC"/>
    <w:rsid w:val="00E667AA"/>
    <w:rsid w:val="00E73E1E"/>
    <w:rsid w:val="00E75A1E"/>
    <w:rsid w:val="00E8191E"/>
    <w:rsid w:val="00E86497"/>
    <w:rsid w:val="00E938CA"/>
    <w:rsid w:val="00EA5270"/>
    <w:rsid w:val="00EA79FE"/>
    <w:rsid w:val="00EB1865"/>
    <w:rsid w:val="00EB20C6"/>
    <w:rsid w:val="00EB2D5D"/>
    <w:rsid w:val="00EB3808"/>
    <w:rsid w:val="00EB3FA9"/>
    <w:rsid w:val="00EB7812"/>
    <w:rsid w:val="00EC5885"/>
    <w:rsid w:val="00ED5195"/>
    <w:rsid w:val="00EE4EBC"/>
    <w:rsid w:val="00EE7A87"/>
    <w:rsid w:val="00EF40E1"/>
    <w:rsid w:val="00EF4DD1"/>
    <w:rsid w:val="00F00383"/>
    <w:rsid w:val="00F03272"/>
    <w:rsid w:val="00F10AAC"/>
    <w:rsid w:val="00F15BFE"/>
    <w:rsid w:val="00F229D5"/>
    <w:rsid w:val="00F26059"/>
    <w:rsid w:val="00F27904"/>
    <w:rsid w:val="00F412C4"/>
    <w:rsid w:val="00F50593"/>
    <w:rsid w:val="00F53536"/>
    <w:rsid w:val="00F55996"/>
    <w:rsid w:val="00F5782D"/>
    <w:rsid w:val="00F61FE9"/>
    <w:rsid w:val="00F74C74"/>
    <w:rsid w:val="00F77570"/>
    <w:rsid w:val="00F81CF3"/>
    <w:rsid w:val="00F83975"/>
    <w:rsid w:val="00F901A9"/>
    <w:rsid w:val="00F9181C"/>
    <w:rsid w:val="00F91F4E"/>
    <w:rsid w:val="00FA7598"/>
    <w:rsid w:val="00FB10E5"/>
    <w:rsid w:val="00FB3DCC"/>
    <w:rsid w:val="00FC1414"/>
    <w:rsid w:val="00FC282D"/>
    <w:rsid w:val="00FC33CD"/>
    <w:rsid w:val="00FC61B1"/>
    <w:rsid w:val="00FD0725"/>
    <w:rsid w:val="00FD3788"/>
    <w:rsid w:val="00FD4AD5"/>
    <w:rsid w:val="00FE11CE"/>
    <w:rsid w:val="00FF4269"/>
    <w:rsid w:val="00FF77FA"/>
    <w:rsid w:val="0350D3FF"/>
    <w:rsid w:val="038489CC"/>
    <w:rsid w:val="03C54D9F"/>
    <w:rsid w:val="045A857A"/>
    <w:rsid w:val="04DDEFD7"/>
    <w:rsid w:val="055577E1"/>
    <w:rsid w:val="068AA974"/>
    <w:rsid w:val="06EC4FE2"/>
    <w:rsid w:val="0A078B70"/>
    <w:rsid w:val="0A468461"/>
    <w:rsid w:val="0AC7BA9B"/>
    <w:rsid w:val="0B95A651"/>
    <w:rsid w:val="0CB21477"/>
    <w:rsid w:val="0D218D8D"/>
    <w:rsid w:val="10BBC1BB"/>
    <w:rsid w:val="10F438FF"/>
    <w:rsid w:val="11C46206"/>
    <w:rsid w:val="11FD13F3"/>
    <w:rsid w:val="13538C64"/>
    <w:rsid w:val="15855265"/>
    <w:rsid w:val="16045D07"/>
    <w:rsid w:val="1642AD2E"/>
    <w:rsid w:val="167F2937"/>
    <w:rsid w:val="189637DF"/>
    <w:rsid w:val="193187C3"/>
    <w:rsid w:val="1AB2B01D"/>
    <w:rsid w:val="1DFBD71A"/>
    <w:rsid w:val="1E7D44A0"/>
    <w:rsid w:val="1F0D80B3"/>
    <w:rsid w:val="20936D73"/>
    <w:rsid w:val="2177C5DE"/>
    <w:rsid w:val="22256A13"/>
    <w:rsid w:val="22410924"/>
    <w:rsid w:val="24B76829"/>
    <w:rsid w:val="267DD3AA"/>
    <w:rsid w:val="27DCAC0B"/>
    <w:rsid w:val="27E12045"/>
    <w:rsid w:val="299D2AD2"/>
    <w:rsid w:val="2AB3224A"/>
    <w:rsid w:val="2AF262E9"/>
    <w:rsid w:val="2BCD7141"/>
    <w:rsid w:val="2D8CAE22"/>
    <w:rsid w:val="2E08742D"/>
    <w:rsid w:val="2E29020A"/>
    <w:rsid w:val="2E2A7094"/>
    <w:rsid w:val="2E6D0695"/>
    <w:rsid w:val="318AA426"/>
    <w:rsid w:val="31DB11B2"/>
    <w:rsid w:val="32800C86"/>
    <w:rsid w:val="32884066"/>
    <w:rsid w:val="32C9BFB3"/>
    <w:rsid w:val="32E1B9D8"/>
    <w:rsid w:val="33C373C9"/>
    <w:rsid w:val="34126EFF"/>
    <w:rsid w:val="35521493"/>
    <w:rsid w:val="35AB26E7"/>
    <w:rsid w:val="367CF004"/>
    <w:rsid w:val="36FBA1B9"/>
    <w:rsid w:val="370EB2D3"/>
    <w:rsid w:val="399B27E6"/>
    <w:rsid w:val="3A4260EA"/>
    <w:rsid w:val="3C223A06"/>
    <w:rsid w:val="3C414481"/>
    <w:rsid w:val="3CF15033"/>
    <w:rsid w:val="3D6ACBDB"/>
    <w:rsid w:val="3E7941C5"/>
    <w:rsid w:val="3F084F8A"/>
    <w:rsid w:val="40620179"/>
    <w:rsid w:val="4201D55B"/>
    <w:rsid w:val="42FCF08B"/>
    <w:rsid w:val="4368F93F"/>
    <w:rsid w:val="44CBDD8D"/>
    <w:rsid w:val="44E4A2A3"/>
    <w:rsid w:val="45991932"/>
    <w:rsid w:val="45BD4B78"/>
    <w:rsid w:val="45FE2BE1"/>
    <w:rsid w:val="46769A63"/>
    <w:rsid w:val="48DDEFF1"/>
    <w:rsid w:val="49DFA0A8"/>
    <w:rsid w:val="4A3CCD9B"/>
    <w:rsid w:val="4B2EFFD2"/>
    <w:rsid w:val="4BEB1057"/>
    <w:rsid w:val="4D7F016F"/>
    <w:rsid w:val="4DBF2D8C"/>
    <w:rsid w:val="4FCE87F7"/>
    <w:rsid w:val="515F1C94"/>
    <w:rsid w:val="594E9186"/>
    <w:rsid w:val="5AB886A4"/>
    <w:rsid w:val="5ACAFE6A"/>
    <w:rsid w:val="5B451BCC"/>
    <w:rsid w:val="5B565409"/>
    <w:rsid w:val="5B568D8C"/>
    <w:rsid w:val="5D395FF0"/>
    <w:rsid w:val="5F6C5EFB"/>
    <w:rsid w:val="616FC32E"/>
    <w:rsid w:val="61CFB10B"/>
    <w:rsid w:val="6226285A"/>
    <w:rsid w:val="62C1BC77"/>
    <w:rsid w:val="631D971E"/>
    <w:rsid w:val="64D1B5ED"/>
    <w:rsid w:val="65A1631D"/>
    <w:rsid w:val="667381AC"/>
    <w:rsid w:val="6779E583"/>
    <w:rsid w:val="68633AFD"/>
    <w:rsid w:val="6A8B6A20"/>
    <w:rsid w:val="6AC32772"/>
    <w:rsid w:val="6D878C50"/>
    <w:rsid w:val="6F5A858A"/>
    <w:rsid w:val="6FA8A21B"/>
    <w:rsid w:val="70AA6C02"/>
    <w:rsid w:val="70D05297"/>
    <w:rsid w:val="71664F75"/>
    <w:rsid w:val="71F6811A"/>
    <w:rsid w:val="765EE23B"/>
    <w:rsid w:val="76935215"/>
    <w:rsid w:val="77964A01"/>
    <w:rsid w:val="77FA0327"/>
    <w:rsid w:val="7B29C87B"/>
    <w:rsid w:val="7B8D18AD"/>
    <w:rsid w:val="7C08D952"/>
    <w:rsid w:val="7F6AA825"/>
    <w:rsid w:val="7F7E6E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22B01"/>
  <w15:docId w15:val="{263A8042-B9BE-4FBB-A654-152D7415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676"/>
    <w:pPr>
      <w:spacing w:before="240" w:after="480" w:line="360" w:lineRule="auto"/>
    </w:pPr>
    <w:rPr>
      <w:rFonts w:ascii="Arial" w:hAnsi="Arial"/>
      <w:sz w:val="24"/>
    </w:rPr>
  </w:style>
  <w:style w:type="paragraph" w:styleId="Ttulo1">
    <w:name w:val="heading 1"/>
    <w:basedOn w:val="Normal"/>
    <w:next w:val="Normal"/>
    <w:link w:val="Ttulo1Car"/>
    <w:autoRedefine/>
    <w:uiPriority w:val="9"/>
    <w:qFormat/>
    <w:rsid w:val="004B41ED"/>
    <w:pPr>
      <w:keepNext/>
      <w:keepLines/>
      <w:spacing w:before="360" w:after="540" w:line="480" w:lineRule="auto"/>
      <w:ind w:left="567" w:hanging="567"/>
      <w:outlineLvl w:val="0"/>
    </w:pPr>
    <w:rPr>
      <w:rFonts w:eastAsiaTheme="majorEastAsia" w:cstheme="majorBidi"/>
      <w:b/>
      <w:bCs/>
      <w:color w:val="365F91" w:themeColor="accent1" w:themeShade="BF"/>
      <w:sz w:val="32"/>
      <w:szCs w:val="32"/>
    </w:rPr>
  </w:style>
  <w:style w:type="paragraph" w:styleId="Ttulo2">
    <w:name w:val="heading 2"/>
    <w:basedOn w:val="Normal"/>
    <w:next w:val="Normal"/>
    <w:link w:val="Ttulo2Car"/>
    <w:autoRedefine/>
    <w:uiPriority w:val="9"/>
    <w:unhideWhenUsed/>
    <w:qFormat/>
    <w:rsid w:val="009B4804"/>
    <w:pPr>
      <w:keepNext/>
      <w:keepLines/>
      <w:spacing w:after="360"/>
      <w:outlineLvl w:val="1"/>
    </w:pPr>
    <w:rPr>
      <w:rFonts w:eastAsiaTheme="majorEastAsia" w:cstheme="majorBidi"/>
      <w:b/>
      <w:bCs/>
      <w:color w:val="365F91" w:themeColor="accent1" w:themeShade="BF"/>
      <w:sz w:val="28"/>
      <w:szCs w:val="26"/>
    </w:rPr>
  </w:style>
  <w:style w:type="paragraph" w:styleId="Ttulo3">
    <w:name w:val="heading 3"/>
    <w:basedOn w:val="Normal"/>
    <w:next w:val="Normal"/>
    <w:link w:val="Ttulo3Car"/>
    <w:autoRedefine/>
    <w:uiPriority w:val="9"/>
    <w:unhideWhenUsed/>
    <w:qFormat/>
    <w:rsid w:val="009B4804"/>
    <w:pPr>
      <w:keepNext/>
      <w:keepLines/>
      <w:spacing w:after="360" w:line="240" w:lineRule="auto"/>
      <w:outlineLvl w:val="2"/>
    </w:pPr>
    <w:rPr>
      <w:rFonts w:eastAsiaTheme="majorEastAsia" w:cstheme="majorBidi"/>
      <w:color w:val="365F91" w:themeColor="accent1" w:themeShade="BF"/>
      <w:sz w:val="26"/>
      <w:szCs w:val="24"/>
    </w:rPr>
  </w:style>
  <w:style w:type="paragraph" w:styleId="Ttulo4">
    <w:name w:val="heading 4"/>
    <w:basedOn w:val="Normal"/>
    <w:next w:val="Normal"/>
    <w:link w:val="Ttulo4Car"/>
    <w:autoRedefine/>
    <w:uiPriority w:val="9"/>
    <w:unhideWhenUsed/>
    <w:qFormat/>
    <w:rsid w:val="009B4804"/>
    <w:pPr>
      <w:keepNext/>
      <w:keepLines/>
      <w:spacing w:after="360"/>
      <w:outlineLvl w:val="3"/>
    </w:pPr>
    <w:rPr>
      <w:rFonts w:eastAsiaTheme="majorEastAsia" w:cstheme="majorBidi"/>
      <w:i/>
      <w:iCs/>
      <w:color w:val="365F91" w:themeColor="accent1" w:themeShade="BF"/>
      <w:sz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qFormat/>
    <w:rsid w:val="005E5F46"/>
    <w:pPr>
      <w:tabs>
        <w:tab w:val="center" w:pos="4419"/>
        <w:tab w:val="right" w:pos="8838"/>
      </w:tabs>
      <w:spacing w:before="180" w:after="180" w:line="240" w:lineRule="auto"/>
    </w:pPr>
    <w:rPr>
      <w:sz w:val="18"/>
    </w:rPr>
  </w:style>
  <w:style w:type="character" w:customStyle="1" w:styleId="PiedepginaCar">
    <w:name w:val="Pie de página Car"/>
    <w:basedOn w:val="Fuentedeprrafopredeter"/>
    <w:link w:val="Piedepgina"/>
    <w:uiPriority w:val="99"/>
    <w:rsid w:val="005E5F46"/>
    <w:rPr>
      <w:rFonts w:ascii="Arial" w:hAnsi="Arial"/>
      <w:sz w:val="18"/>
    </w:rPr>
  </w:style>
  <w:style w:type="paragraph" w:styleId="NormalWeb">
    <w:name w:val="Normal (Web)"/>
    <w:basedOn w:val="Normal"/>
    <w:uiPriority w:val="99"/>
    <w:semiHidden/>
    <w:unhideWhenUsed/>
    <w:rsid w:val="00CD6908"/>
    <w:pPr>
      <w:spacing w:before="100" w:beforeAutospacing="1" w:after="100" w:afterAutospacing="1" w:line="240" w:lineRule="auto"/>
    </w:pPr>
    <w:rPr>
      <w:rFonts w:ascii="Times New Roman" w:eastAsiaTheme="minorEastAsia" w:hAnsi="Times New Roman" w:cs="Times New Roman"/>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character" w:styleId="Hipervnculo">
    <w:name w:val="Hyperlink"/>
    <w:basedOn w:val="Fuentedeprrafopredeter"/>
    <w:uiPriority w:val="99"/>
    <w:unhideWhenUsed/>
    <w:rsid w:val="00EE4EBC"/>
    <w:rPr>
      <w:color w:val="0000FF" w:themeColor="hyperlink"/>
      <w:u w:val="single"/>
    </w:rPr>
  </w:style>
  <w:style w:type="character" w:styleId="Mencinsinresolver">
    <w:name w:val="Unresolved Mention"/>
    <w:basedOn w:val="Fuentedeprrafopredeter"/>
    <w:uiPriority w:val="99"/>
    <w:semiHidden/>
    <w:unhideWhenUsed/>
    <w:rsid w:val="00EE4EBC"/>
    <w:rPr>
      <w:color w:val="605E5C"/>
      <w:shd w:val="clear" w:color="auto" w:fill="E1DFDD"/>
    </w:rPr>
  </w:style>
  <w:style w:type="character" w:customStyle="1" w:styleId="Fuentedeprrafopredeter0">
    <w:name w:val="Fuente de párrafo predeter"/>
    <w:rsid w:val="006B1A7D"/>
  </w:style>
  <w:style w:type="character" w:customStyle="1" w:styleId="Ttulo1Car">
    <w:name w:val="Título 1 Car"/>
    <w:basedOn w:val="Fuentedeprrafopredeter"/>
    <w:link w:val="Ttulo1"/>
    <w:uiPriority w:val="9"/>
    <w:rsid w:val="004B41ED"/>
    <w:rPr>
      <w:rFonts w:ascii="Arial" w:eastAsiaTheme="majorEastAsia" w:hAnsi="Arial" w:cstheme="majorBidi"/>
      <w:b/>
      <w:bCs/>
      <w:color w:val="365F91" w:themeColor="accent1" w:themeShade="BF"/>
      <w:sz w:val="32"/>
      <w:szCs w:val="32"/>
    </w:rPr>
  </w:style>
  <w:style w:type="character" w:customStyle="1" w:styleId="Ttulo2Car">
    <w:name w:val="Título 2 Car"/>
    <w:basedOn w:val="Fuentedeprrafopredeter"/>
    <w:link w:val="Ttulo2"/>
    <w:uiPriority w:val="9"/>
    <w:rsid w:val="009B4804"/>
    <w:rPr>
      <w:rFonts w:ascii="Arial" w:eastAsiaTheme="majorEastAsia" w:hAnsi="Arial" w:cstheme="majorBidi"/>
      <w:b/>
      <w:bCs/>
      <w:color w:val="365F91" w:themeColor="accent1" w:themeShade="BF"/>
      <w:sz w:val="28"/>
      <w:szCs w:val="26"/>
    </w:rPr>
  </w:style>
  <w:style w:type="paragraph" w:styleId="Prrafodelista">
    <w:name w:val="List Paragraph"/>
    <w:aliases w:val="Lista viñeta"/>
    <w:basedOn w:val="Normal"/>
    <w:link w:val="PrrafodelistaCar"/>
    <w:uiPriority w:val="34"/>
    <w:qFormat/>
    <w:rsid w:val="005111F0"/>
  </w:style>
  <w:style w:type="paragraph" w:styleId="Citadestacada">
    <w:name w:val="Intense Quote"/>
    <w:basedOn w:val="Normal"/>
    <w:next w:val="Normal"/>
    <w:link w:val="CitadestacadaCar"/>
    <w:uiPriority w:val="30"/>
    <w:rsid w:val="009016C6"/>
    <w:pPr>
      <w:pBdr>
        <w:top w:val="single" w:sz="4" w:space="10" w:color="4F81BD" w:themeColor="accent1"/>
        <w:bottom w:val="single" w:sz="4" w:space="10" w:color="4F81BD" w:themeColor="accent1"/>
      </w:pBdr>
      <w:spacing w:before="280" w:after="280"/>
      <w:ind w:left="284" w:right="284"/>
    </w:pPr>
    <w:rPr>
      <w:i/>
      <w:iCs/>
      <w:color w:val="365F91" w:themeColor="accent1" w:themeShade="BF"/>
    </w:rPr>
  </w:style>
  <w:style w:type="character" w:customStyle="1" w:styleId="CitadestacadaCar">
    <w:name w:val="Cita destacada Car"/>
    <w:basedOn w:val="Fuentedeprrafopredeter"/>
    <w:link w:val="Citadestacada"/>
    <w:uiPriority w:val="30"/>
    <w:rsid w:val="009016C6"/>
    <w:rPr>
      <w:rFonts w:ascii="Arial" w:hAnsi="Arial"/>
      <w:i/>
      <w:iCs/>
      <w:color w:val="365F91" w:themeColor="accent1" w:themeShade="BF"/>
      <w:sz w:val="24"/>
    </w:rPr>
  </w:style>
  <w:style w:type="character" w:customStyle="1" w:styleId="Ttulo3Car">
    <w:name w:val="Título 3 Car"/>
    <w:basedOn w:val="Fuentedeprrafopredeter"/>
    <w:link w:val="Ttulo3"/>
    <w:uiPriority w:val="9"/>
    <w:rsid w:val="009B4804"/>
    <w:rPr>
      <w:rFonts w:ascii="Arial" w:eastAsiaTheme="majorEastAsia" w:hAnsi="Arial" w:cstheme="majorBidi"/>
      <w:color w:val="365F91" w:themeColor="accent1" w:themeShade="BF"/>
      <w:sz w:val="26"/>
      <w:szCs w:val="24"/>
    </w:rPr>
  </w:style>
  <w:style w:type="character" w:customStyle="1" w:styleId="Ttulo4Car">
    <w:name w:val="Título 4 Car"/>
    <w:basedOn w:val="Fuentedeprrafopredeter"/>
    <w:link w:val="Ttulo4"/>
    <w:uiPriority w:val="9"/>
    <w:rsid w:val="009B4804"/>
    <w:rPr>
      <w:rFonts w:ascii="Arial" w:eastAsiaTheme="majorEastAsia" w:hAnsi="Arial" w:cstheme="majorBidi"/>
      <w:i/>
      <w:iCs/>
      <w:color w:val="365F91" w:themeColor="accent1" w:themeShade="BF"/>
      <w:sz w:val="26"/>
    </w:rPr>
  </w:style>
  <w:style w:type="paragraph" w:customStyle="1" w:styleId="Listas">
    <w:name w:val="Listas"/>
    <w:basedOn w:val="Prrafodelista"/>
    <w:link w:val="ListasCar"/>
    <w:rsid w:val="00D26DBB"/>
    <w:pPr>
      <w:numPr>
        <w:numId w:val="9"/>
      </w:numPr>
      <w:spacing w:after="0"/>
      <w:ind w:left="714" w:hanging="357"/>
    </w:pPr>
  </w:style>
  <w:style w:type="character" w:styleId="Fuerte">
    <w:name w:val="Strong"/>
    <w:basedOn w:val="Fuentedeprrafopredeter"/>
    <w:uiPriority w:val="22"/>
    <w:rsid w:val="006B4ED8"/>
    <w:rPr>
      <w:b/>
      <w:bCs/>
    </w:rPr>
  </w:style>
  <w:style w:type="character" w:customStyle="1" w:styleId="PrrafodelistaCar">
    <w:name w:val="Párrafo de lista Car"/>
    <w:aliases w:val="Lista viñeta Car"/>
    <w:basedOn w:val="Fuentedeprrafopredeter"/>
    <w:link w:val="Prrafodelista"/>
    <w:uiPriority w:val="34"/>
    <w:rsid w:val="005111F0"/>
    <w:rPr>
      <w:rFonts w:ascii="Arial" w:hAnsi="Arial"/>
      <w:sz w:val="24"/>
    </w:rPr>
  </w:style>
  <w:style w:type="character" w:customStyle="1" w:styleId="ListasCar">
    <w:name w:val="Listas Car"/>
    <w:basedOn w:val="PrrafodelistaCar"/>
    <w:link w:val="Listas"/>
    <w:rsid w:val="00D26DBB"/>
    <w:rPr>
      <w:rFonts w:ascii="Arial" w:hAnsi="Arial"/>
      <w:sz w:val="24"/>
    </w:rPr>
  </w:style>
  <w:style w:type="table" w:styleId="Tablaconcuadrcula">
    <w:name w:val="Table Grid"/>
    <w:aliases w:val="Tabla con cuadrícula - Supersalud"/>
    <w:basedOn w:val="Tablanormal"/>
    <w:uiPriority w:val="39"/>
    <w:rsid w:val="006B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1">
    <w:name w:val="Grid Table 4 Accent 1"/>
    <w:basedOn w:val="Tablanormal"/>
    <w:uiPriority w:val="49"/>
    <w:rsid w:val="002D2BAB"/>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5oscura-nfasis1">
    <w:name w:val="Grid Table 5 Dark Accent 1"/>
    <w:basedOn w:val="Tablanormal"/>
    <w:uiPriority w:val="50"/>
    <w:rsid w:val="002D2BA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aconcuadrcula4-nfasis5">
    <w:name w:val="Grid Table 4 Accent 5"/>
    <w:basedOn w:val="Tablanormal"/>
    <w:uiPriority w:val="49"/>
    <w:rsid w:val="002D2BAB"/>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concuadrcula4-nfasis2">
    <w:name w:val="Grid Table 4 Accent 2"/>
    <w:basedOn w:val="Tablanormal"/>
    <w:uiPriority w:val="49"/>
    <w:rsid w:val="00237626"/>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adecuadrcula4">
    <w:name w:val="Grid Table 4"/>
    <w:basedOn w:val="Tablanormal"/>
    <w:uiPriority w:val="49"/>
    <w:rsid w:val="006D468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
    <w:name w:val="Grid Table 5 Dark"/>
    <w:basedOn w:val="Tablanormal"/>
    <w:uiPriority w:val="50"/>
    <w:rsid w:val="00DD730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concuadrcula5oscura-nfasis3">
    <w:name w:val="Grid Table 5 Dark Accent 3"/>
    <w:basedOn w:val="Tablanormal"/>
    <w:uiPriority w:val="50"/>
    <w:rsid w:val="00DD730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aconcuadrcula4-nfasis4">
    <w:name w:val="Grid Table 4 Accent 4"/>
    <w:basedOn w:val="Tablanormal"/>
    <w:uiPriority w:val="49"/>
    <w:rsid w:val="00D83AD6"/>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4-nfasis3">
    <w:name w:val="Grid Table 4 Accent 3"/>
    <w:basedOn w:val="Tablanormal"/>
    <w:uiPriority w:val="49"/>
    <w:rsid w:val="00D83AD6"/>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adelista3">
    <w:name w:val="List Table 3"/>
    <w:basedOn w:val="Tablanormal"/>
    <w:uiPriority w:val="48"/>
    <w:rsid w:val="00D83AD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aconcuadrcula1clara">
    <w:name w:val="Grid Table 1 Light"/>
    <w:basedOn w:val="Tablanormal"/>
    <w:uiPriority w:val="46"/>
    <w:rsid w:val="00AA219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concuadrcula1clara-nfasis1">
    <w:name w:val="Grid Table 1 Light Accent 1"/>
    <w:basedOn w:val="Tablanormal"/>
    <w:uiPriority w:val="46"/>
    <w:rsid w:val="00AA2192"/>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aconcuadrcula3-nfasis1">
    <w:name w:val="Grid Table 3 Accent 1"/>
    <w:basedOn w:val="Tablanormal"/>
    <w:uiPriority w:val="48"/>
    <w:rsid w:val="000E172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aconcuadrcula7concolores">
    <w:name w:val="Grid Table 7 Colorful"/>
    <w:basedOn w:val="Tablanormal"/>
    <w:uiPriority w:val="52"/>
    <w:rsid w:val="000E172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decuadrcula3">
    <w:name w:val="Grid Table 3"/>
    <w:basedOn w:val="Tablanormal"/>
    <w:uiPriority w:val="48"/>
    <w:rsid w:val="000E172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Entrecomilladojurdico">
    <w:name w:val="Entrecomillado jurídico"/>
    <w:basedOn w:val="Normal"/>
    <w:link w:val="EntrecomilladojurdicoCar"/>
    <w:qFormat/>
    <w:rsid w:val="0091741A"/>
    <w:pPr>
      <w:framePr w:wrap="around" w:vAnchor="text" w:hAnchor="text" w:y="1"/>
      <w:pBdr>
        <w:top w:val="single" w:sz="4" w:space="8" w:color="DBE5F1" w:themeColor="accent1" w:themeTint="33"/>
        <w:left w:val="single" w:sz="4" w:space="8" w:color="DBE5F1" w:themeColor="accent1" w:themeTint="33"/>
        <w:bottom w:val="single" w:sz="4" w:space="8" w:color="DBE5F1" w:themeColor="accent1" w:themeTint="33"/>
        <w:right w:val="single" w:sz="4" w:space="8" w:color="DBE5F1" w:themeColor="accent1" w:themeTint="33"/>
      </w:pBdr>
      <w:shd w:val="clear" w:color="auto" w:fill="DBE5F1" w:themeFill="accent1" w:themeFillTint="33"/>
      <w:spacing w:before="0" w:after="0"/>
      <w:ind w:left="851" w:right="851"/>
      <w:mirrorIndents/>
      <w:jc w:val="both"/>
    </w:pPr>
    <w:rPr>
      <w:i/>
      <w:color w:val="000000" w:themeColor="text1"/>
    </w:rPr>
  </w:style>
  <w:style w:type="paragraph" w:customStyle="1" w:styleId="Respuesta">
    <w:name w:val="Respuesta"/>
    <w:basedOn w:val="Normal"/>
    <w:link w:val="RespuestaCar"/>
    <w:rsid w:val="00767956"/>
    <w:pPr>
      <w:keepNext/>
      <w:keepLines/>
      <w:pBdr>
        <w:top w:val="single" w:sz="36" w:space="1" w:color="365F91" w:themeColor="accent1" w:themeShade="BF"/>
        <w:left w:val="single" w:sz="36" w:space="4" w:color="365F91" w:themeColor="accent1" w:themeShade="BF"/>
        <w:bottom w:val="single" w:sz="36" w:space="1" w:color="365F91" w:themeColor="accent1" w:themeShade="BF"/>
        <w:right w:val="single" w:sz="36" w:space="4" w:color="365F91" w:themeColor="accent1" w:themeShade="BF"/>
      </w:pBdr>
      <w:shd w:val="clear" w:color="auto" w:fill="365F91" w:themeFill="accent1" w:themeFillShade="BF"/>
      <w:autoSpaceDE w:val="0"/>
      <w:autoSpaceDN w:val="0"/>
      <w:adjustRightInd w:val="0"/>
      <w:spacing w:before="0" w:after="0" w:line="240" w:lineRule="auto"/>
      <w:ind w:right="113"/>
      <w:jc w:val="right"/>
    </w:pPr>
    <w:rPr>
      <w:rFonts w:cs="Arial"/>
      <w:color w:val="FFFFFF" w:themeColor="background1"/>
      <w:sz w:val="20"/>
      <w:lang w:val="es-ES"/>
    </w:rPr>
  </w:style>
  <w:style w:type="character" w:customStyle="1" w:styleId="EntrecomilladojurdicoCar">
    <w:name w:val="Entrecomillado jurídico Car"/>
    <w:basedOn w:val="CitadestacadaCar"/>
    <w:link w:val="Entrecomilladojurdico"/>
    <w:rsid w:val="0091741A"/>
    <w:rPr>
      <w:rFonts w:ascii="Arial" w:hAnsi="Arial"/>
      <w:i/>
      <w:iCs w:val="0"/>
      <w:color w:val="000000" w:themeColor="text1"/>
      <w:sz w:val="24"/>
      <w:shd w:val="clear" w:color="auto" w:fill="DBE5F1" w:themeFill="accent1" w:themeFillTint="33"/>
    </w:rPr>
  </w:style>
  <w:style w:type="character" w:customStyle="1" w:styleId="RespuestaCar">
    <w:name w:val="Respuesta Car"/>
    <w:basedOn w:val="Fuentedeprrafopredeter"/>
    <w:link w:val="Respuesta"/>
    <w:rsid w:val="00767956"/>
    <w:rPr>
      <w:rFonts w:ascii="Arial" w:hAnsi="Arial" w:cs="Arial"/>
      <w:color w:val="FFFFFF" w:themeColor="background1"/>
      <w:sz w:val="20"/>
      <w:shd w:val="clear" w:color="auto" w:fill="365F91" w:themeFill="accent1" w:themeFillShade="BF"/>
      <w:lang w:val="es-ES"/>
    </w:rPr>
  </w:style>
  <w:style w:type="paragraph" w:styleId="TtuloTDC">
    <w:name w:val="TOC Heading"/>
    <w:basedOn w:val="Ttulo1"/>
    <w:next w:val="Normal"/>
    <w:uiPriority w:val="39"/>
    <w:unhideWhenUsed/>
    <w:rsid w:val="00524BF2"/>
    <w:pPr>
      <w:spacing w:before="240" w:after="0" w:line="259" w:lineRule="auto"/>
      <w:outlineLvl w:val="9"/>
    </w:pPr>
    <w:rPr>
      <w:rFonts w:asciiTheme="majorHAnsi" w:hAnsiTheme="majorHAnsi"/>
      <w:b w:val="0"/>
      <w:bCs w:val="0"/>
      <w:lang w:eastAsia="es-CO"/>
    </w:rPr>
  </w:style>
  <w:style w:type="paragraph" w:styleId="TDC1">
    <w:name w:val="toc 1"/>
    <w:basedOn w:val="Normal"/>
    <w:next w:val="Normal"/>
    <w:autoRedefine/>
    <w:uiPriority w:val="39"/>
    <w:unhideWhenUsed/>
    <w:rsid w:val="00524BF2"/>
    <w:pPr>
      <w:spacing w:after="100"/>
    </w:pPr>
  </w:style>
  <w:style w:type="paragraph" w:styleId="TDC2">
    <w:name w:val="toc 2"/>
    <w:basedOn w:val="Normal"/>
    <w:next w:val="Normal"/>
    <w:autoRedefine/>
    <w:uiPriority w:val="39"/>
    <w:unhideWhenUsed/>
    <w:rsid w:val="00524BF2"/>
    <w:pPr>
      <w:spacing w:after="100"/>
      <w:ind w:left="240"/>
    </w:pPr>
  </w:style>
  <w:style w:type="table" w:styleId="Tablaconcuadrculaclara">
    <w:name w:val="Grid Table Light"/>
    <w:basedOn w:val="Tablanormal"/>
    <w:uiPriority w:val="40"/>
    <w:rsid w:val="008273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link w:val="SinespaciadoCar"/>
    <w:uiPriority w:val="1"/>
    <w:rsid w:val="00EB7812"/>
    <w:pPr>
      <w:spacing w:after="0" w:line="240" w:lineRule="auto"/>
    </w:pPr>
    <w:rPr>
      <w:rFonts w:eastAsiaTheme="minorEastAsia"/>
      <w:lang w:eastAsia="es-CO"/>
    </w:rPr>
  </w:style>
  <w:style w:type="character" w:customStyle="1" w:styleId="SinespaciadoCar">
    <w:name w:val="Sin espaciado Car"/>
    <w:basedOn w:val="Fuentedeprrafopredeter"/>
    <w:link w:val="Sinespaciado"/>
    <w:uiPriority w:val="1"/>
    <w:rsid w:val="00EB7812"/>
    <w:rPr>
      <w:rFonts w:eastAsiaTheme="minorEastAsia"/>
      <w:lang w:eastAsia="es-CO"/>
    </w:rPr>
  </w:style>
  <w:style w:type="character" w:styleId="Refdecomentario">
    <w:name w:val="annotation reference"/>
    <w:basedOn w:val="Fuentedeprrafopredeter"/>
    <w:uiPriority w:val="99"/>
    <w:semiHidden/>
    <w:unhideWhenUsed/>
    <w:rsid w:val="00820A0C"/>
    <w:rPr>
      <w:sz w:val="16"/>
      <w:szCs w:val="16"/>
    </w:rPr>
  </w:style>
  <w:style w:type="paragraph" w:styleId="Textocomentario">
    <w:name w:val="annotation text"/>
    <w:basedOn w:val="Normal"/>
    <w:link w:val="TextocomentarioCar"/>
    <w:uiPriority w:val="99"/>
    <w:unhideWhenUsed/>
    <w:rsid w:val="00820A0C"/>
    <w:pPr>
      <w:spacing w:line="240" w:lineRule="auto"/>
    </w:pPr>
    <w:rPr>
      <w:sz w:val="20"/>
      <w:szCs w:val="20"/>
    </w:rPr>
  </w:style>
  <w:style w:type="character" w:customStyle="1" w:styleId="TextocomentarioCar">
    <w:name w:val="Texto comentario Car"/>
    <w:basedOn w:val="Fuentedeprrafopredeter"/>
    <w:link w:val="Textocomentario"/>
    <w:uiPriority w:val="99"/>
    <w:rsid w:val="00820A0C"/>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820A0C"/>
    <w:rPr>
      <w:b/>
      <w:bCs/>
    </w:rPr>
  </w:style>
  <w:style w:type="character" w:customStyle="1" w:styleId="AsuntodelcomentarioCar">
    <w:name w:val="Asunto del comentario Car"/>
    <w:basedOn w:val="TextocomentarioCar"/>
    <w:link w:val="Asuntodelcomentario"/>
    <w:uiPriority w:val="99"/>
    <w:semiHidden/>
    <w:rsid w:val="00820A0C"/>
    <w:rPr>
      <w:rFonts w:ascii="Arial" w:hAnsi="Arial"/>
      <w:b/>
      <w:bCs/>
      <w:sz w:val="20"/>
      <w:szCs w:val="20"/>
    </w:rPr>
  </w:style>
  <w:style w:type="paragraph" w:styleId="Descripcin">
    <w:name w:val="caption"/>
    <w:basedOn w:val="Normal"/>
    <w:next w:val="Normal"/>
    <w:uiPriority w:val="35"/>
    <w:unhideWhenUsed/>
    <w:rsid w:val="00B52707"/>
    <w:pPr>
      <w:spacing w:before="0" w:after="200" w:line="240" w:lineRule="auto"/>
    </w:pPr>
    <w:rPr>
      <w:i/>
      <w:iCs/>
      <w:color w:val="1F497D" w:themeColor="text2"/>
      <w:sz w:val="18"/>
      <w:szCs w:val="18"/>
    </w:rPr>
  </w:style>
  <w:style w:type="paragraph" w:customStyle="1" w:styleId="PortadaTitulo">
    <w:name w:val="Portada Titulo"/>
    <w:basedOn w:val="Ttulo1"/>
    <w:link w:val="PortadaTituloCar"/>
    <w:qFormat/>
    <w:rsid w:val="0086442E"/>
    <w:pPr>
      <w:spacing w:line="240" w:lineRule="auto"/>
    </w:pPr>
    <w:rPr>
      <w:sz w:val="96"/>
      <w:szCs w:val="96"/>
    </w:rPr>
  </w:style>
  <w:style w:type="paragraph" w:customStyle="1" w:styleId="PortadaFechadeldocumento">
    <w:name w:val="Portada Fecha del documento"/>
    <w:basedOn w:val="Respuesta"/>
    <w:link w:val="PortadaFechadeldocumentoCar"/>
    <w:rsid w:val="000762A7"/>
    <w:pPr>
      <w:pBdr>
        <w:top w:val="single" w:sz="36" w:space="1" w:color="47AE4C"/>
        <w:left w:val="single" w:sz="36" w:space="4" w:color="47AE4C"/>
        <w:bottom w:val="single" w:sz="36" w:space="1" w:color="47AE4C"/>
        <w:right w:val="single" w:sz="36" w:space="4" w:color="47AE4C"/>
      </w:pBdr>
      <w:shd w:val="clear" w:color="auto" w:fill="47AE4C"/>
      <w:jc w:val="center"/>
    </w:pPr>
    <w:rPr>
      <w:b/>
      <w:sz w:val="24"/>
      <w:szCs w:val="24"/>
    </w:rPr>
  </w:style>
  <w:style w:type="character" w:customStyle="1" w:styleId="PortadaTituloCar">
    <w:name w:val="Portada Titulo Car"/>
    <w:basedOn w:val="Ttulo1Car"/>
    <w:link w:val="PortadaTitulo"/>
    <w:rsid w:val="0086442E"/>
    <w:rPr>
      <w:rFonts w:ascii="Arial" w:eastAsiaTheme="majorEastAsia" w:hAnsi="Arial" w:cstheme="majorBidi"/>
      <w:b/>
      <w:bCs/>
      <w:color w:val="365F91" w:themeColor="accent1" w:themeShade="BF"/>
      <w:sz w:val="96"/>
      <w:szCs w:val="96"/>
    </w:rPr>
  </w:style>
  <w:style w:type="paragraph" w:customStyle="1" w:styleId="Descripcionportada">
    <w:name w:val="Descripcion portada"/>
    <w:basedOn w:val="PortadaFechadeldocumento"/>
    <w:link w:val="DescripcionportadaCar"/>
    <w:rsid w:val="008352E9"/>
    <w:pPr>
      <w:pBdr>
        <w:top w:val="single" w:sz="36" w:space="1" w:color="DEF2DF"/>
        <w:left w:val="single" w:sz="36" w:space="4" w:color="DEF2DF"/>
        <w:bottom w:val="single" w:sz="36" w:space="1" w:color="DEF2DF"/>
        <w:right w:val="single" w:sz="36" w:space="4" w:color="DEF2DF"/>
      </w:pBdr>
      <w:shd w:val="clear" w:color="auto" w:fill="DEF2DF"/>
    </w:pPr>
    <w:rPr>
      <w:b w:val="0"/>
      <w:color w:val="auto"/>
    </w:rPr>
  </w:style>
  <w:style w:type="character" w:customStyle="1" w:styleId="PortadaFechadeldocumentoCar">
    <w:name w:val="Portada Fecha del documento Car"/>
    <w:basedOn w:val="RespuestaCar"/>
    <w:link w:val="PortadaFechadeldocumento"/>
    <w:rsid w:val="000762A7"/>
    <w:rPr>
      <w:rFonts w:ascii="Arial" w:hAnsi="Arial" w:cs="Arial"/>
      <w:b/>
      <w:color w:val="FFFFFF" w:themeColor="background1"/>
      <w:sz w:val="24"/>
      <w:szCs w:val="24"/>
      <w:shd w:val="clear" w:color="auto" w:fill="47AE4C"/>
      <w:lang w:val="es-ES"/>
    </w:rPr>
  </w:style>
  <w:style w:type="paragraph" w:customStyle="1" w:styleId="PortadaDescripcin">
    <w:name w:val="Portada Descripción"/>
    <w:basedOn w:val="Normal"/>
    <w:link w:val="PortadaDescripcinCar"/>
    <w:rsid w:val="00D0736C"/>
    <w:pPr>
      <w:jc w:val="center"/>
    </w:pPr>
    <w:rPr>
      <w:i/>
    </w:rPr>
  </w:style>
  <w:style w:type="character" w:customStyle="1" w:styleId="DescripcionportadaCar">
    <w:name w:val="Descripcion portada Car"/>
    <w:basedOn w:val="PortadaFechadeldocumentoCar"/>
    <w:link w:val="Descripcionportada"/>
    <w:rsid w:val="008352E9"/>
    <w:rPr>
      <w:rFonts w:ascii="Arial" w:hAnsi="Arial" w:cs="Arial"/>
      <w:b w:val="0"/>
      <w:color w:val="FFFFFF" w:themeColor="background1"/>
      <w:sz w:val="24"/>
      <w:szCs w:val="24"/>
      <w:shd w:val="clear" w:color="auto" w:fill="DEF2DF"/>
      <w:lang w:val="es-ES"/>
    </w:rPr>
  </w:style>
  <w:style w:type="paragraph" w:customStyle="1" w:styleId="Fuente">
    <w:name w:val="Fuente"/>
    <w:basedOn w:val="Normal"/>
    <w:link w:val="FuenteCar"/>
    <w:qFormat/>
    <w:rsid w:val="00357C0F"/>
    <w:rPr>
      <w:rFonts w:cs="Open Sans"/>
      <w:i/>
      <w:color w:val="000000"/>
      <w:szCs w:val="21"/>
      <w:shd w:val="clear" w:color="auto" w:fill="FFFFFF"/>
    </w:rPr>
  </w:style>
  <w:style w:type="character" w:customStyle="1" w:styleId="PortadaDescripcinCar">
    <w:name w:val="Portada Descripción Car"/>
    <w:basedOn w:val="Fuentedeprrafopredeter"/>
    <w:link w:val="PortadaDescripcin"/>
    <w:rsid w:val="00D0736C"/>
    <w:rPr>
      <w:rFonts w:ascii="Arial" w:hAnsi="Arial"/>
      <w:i/>
      <w:sz w:val="24"/>
    </w:rPr>
  </w:style>
  <w:style w:type="paragraph" w:styleId="Textonotapie">
    <w:name w:val="footnote text"/>
    <w:basedOn w:val="Normal"/>
    <w:link w:val="TextonotapieCar"/>
    <w:uiPriority w:val="99"/>
    <w:semiHidden/>
    <w:unhideWhenUsed/>
    <w:rsid w:val="005E5F46"/>
    <w:pPr>
      <w:spacing w:before="0" w:after="0" w:line="240" w:lineRule="auto"/>
    </w:pPr>
    <w:rPr>
      <w:sz w:val="20"/>
      <w:szCs w:val="20"/>
    </w:rPr>
  </w:style>
  <w:style w:type="character" w:customStyle="1" w:styleId="FuenteCar">
    <w:name w:val="Fuente Car"/>
    <w:basedOn w:val="Fuentedeprrafopredeter"/>
    <w:link w:val="Fuente"/>
    <w:rsid w:val="00357C0F"/>
    <w:rPr>
      <w:rFonts w:ascii="Arial" w:hAnsi="Arial" w:cs="Open Sans"/>
      <w:i/>
      <w:color w:val="000000"/>
      <w:sz w:val="24"/>
      <w:szCs w:val="21"/>
    </w:rPr>
  </w:style>
  <w:style w:type="character" w:customStyle="1" w:styleId="TextonotapieCar">
    <w:name w:val="Texto nota pie Car"/>
    <w:basedOn w:val="Fuentedeprrafopredeter"/>
    <w:link w:val="Textonotapie"/>
    <w:uiPriority w:val="99"/>
    <w:semiHidden/>
    <w:rsid w:val="005E5F46"/>
    <w:rPr>
      <w:rFonts w:ascii="Arial" w:hAnsi="Arial"/>
      <w:sz w:val="20"/>
      <w:szCs w:val="20"/>
    </w:rPr>
  </w:style>
  <w:style w:type="character" w:styleId="Refdenotaalpie">
    <w:name w:val="footnote reference"/>
    <w:basedOn w:val="Fuentedeprrafopredeter"/>
    <w:uiPriority w:val="99"/>
    <w:semiHidden/>
    <w:unhideWhenUsed/>
    <w:rsid w:val="005E5F46"/>
    <w:rPr>
      <w:vertAlign w:val="superscript"/>
    </w:rPr>
  </w:style>
  <w:style w:type="paragraph" w:styleId="TDC3">
    <w:name w:val="toc 3"/>
    <w:basedOn w:val="Normal"/>
    <w:next w:val="Normal"/>
    <w:autoRedefine/>
    <w:uiPriority w:val="39"/>
    <w:unhideWhenUsed/>
    <w:rsid w:val="00F03272"/>
    <w:pPr>
      <w:spacing w:after="100"/>
      <w:ind w:left="480"/>
    </w:pPr>
  </w:style>
  <w:style w:type="paragraph" w:styleId="TDC4">
    <w:name w:val="toc 4"/>
    <w:basedOn w:val="Normal"/>
    <w:next w:val="Normal"/>
    <w:autoRedefine/>
    <w:uiPriority w:val="39"/>
    <w:unhideWhenUsed/>
    <w:rsid w:val="00F03272"/>
    <w:pPr>
      <w:spacing w:after="100"/>
      <w:ind w:left="720"/>
    </w:pPr>
  </w:style>
  <w:style w:type="paragraph" w:customStyle="1" w:styleId="tablaEncabezado">
    <w:name w:val="tabla Encabezado"/>
    <w:basedOn w:val="Normal"/>
    <w:link w:val="tablaEncabezadoCar"/>
    <w:rsid w:val="004D65AF"/>
    <w:pPr>
      <w:spacing w:after="240" w:line="240" w:lineRule="auto"/>
    </w:pPr>
    <w:rPr>
      <w:b/>
    </w:rPr>
  </w:style>
  <w:style w:type="character" w:customStyle="1" w:styleId="tablaEncabezadoCar">
    <w:name w:val="tabla Encabezado Car"/>
    <w:basedOn w:val="Fuentedeprrafopredeter"/>
    <w:link w:val="tablaEncabezado"/>
    <w:rsid w:val="004D65AF"/>
    <w:rPr>
      <w:rFonts w:ascii="Arial" w:hAnsi="Arial"/>
      <w:b/>
      <w:sz w:val="24"/>
    </w:rPr>
  </w:style>
  <w:style w:type="character" w:styleId="Mencionar">
    <w:name w:val="Mention"/>
    <w:basedOn w:val="Fuentedeprrafopredeter"/>
    <w:uiPriority w:val="99"/>
    <w:unhideWhenUsed/>
    <w:rsid w:val="003B6B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10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normograma.supersalud.gov.co/compilacion/docs/decreto_0780_2016.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5" Type="http://schemas.microsoft.com/office/2019/05/relationships/documenttasks" Target="documenttasks/documenttasks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F07B49B4-1673-49B2-818F-35AD97346752}">
    <t:Anchor>
      <t:Comment id="245759085"/>
    </t:Anchor>
    <t:History>
      <t:Event id="{2CEF2DF6-EA7E-4860-A462-66CBAD9D6E02}" time="2026-04-27T22:59:42.36Z">
        <t:Attribution userId="S::carolina.arcila@supersalud.gov.co::7627bf15-15f0-4a72-8564-1103cce54042" userProvider="AD" userName="Carolina Arcila Villa"/>
        <t:Anchor>
          <t:Comment id="245759085"/>
        </t:Anchor>
        <t:Create/>
      </t:Event>
      <t:Event id="{EC285E14-E455-495A-AB00-6195627B0CE7}" time="2026-04-27T22:59:42.36Z">
        <t:Attribution userId="S::carolina.arcila@supersalud.gov.co::7627bf15-15f0-4a72-8564-1103cce54042" userProvider="AD" userName="Carolina Arcila Villa"/>
        <t:Anchor>
          <t:Comment id="245759085"/>
        </t:Anchor>
        <t:Assign userId="S::Jhovana.Rojas@supersalud.gov.co::6126b20f-570e-4fad-9983-3c6c67521378" userProvider="AD" userName="Jhovana Constanza Rojas Cardona"/>
      </t:Event>
      <t:Event id="{3F56E9E2-6D07-4F93-98A2-230355C57477}" time="2026-04-27T22:59:42.36Z">
        <t:Attribution userId="S::carolina.arcila@supersalud.gov.co::7627bf15-15f0-4a72-8564-1103cce54042" userProvider="AD" userName="Carolina Arcila Villa"/>
        <t:Anchor>
          <t:Comment id="245759085"/>
        </t:Anchor>
        <t:SetTitle title="@Jhovana Constanza Rojas Cardona @Cindy Carolina Castillo Parra propuesta pero debe revisarse con pinzas pues debería derivar en un indicador"/>
      </t:Event>
    </t:History>
  </t:Task>
  <t:Task id="{73DB25BA-6CB1-4260-87FA-389A62E0D979}">
    <t:Anchor>
      <t:Comment id="1521518351"/>
    </t:Anchor>
    <t:History>
      <t:Event id="{97A43D02-5D29-44C9-A7B0-8E92EB54350F}" time="2026-04-27T23:14:18.628Z">
        <t:Attribution userId="S::carolina.arcila@supersalud.gov.co::7627bf15-15f0-4a72-8564-1103cce54042" userProvider="AD" userName="Carolina Arcila Villa"/>
        <t:Anchor>
          <t:Comment id="1521518351"/>
        </t:Anchor>
        <t:Create/>
      </t:Event>
      <t:Event id="{28104973-54BC-45CB-9E33-E85922B3AFD2}" time="2026-04-27T23:14:18.628Z">
        <t:Attribution userId="S::carolina.arcila@supersalud.gov.co::7627bf15-15f0-4a72-8564-1103cce54042" userProvider="AD" userName="Carolina Arcila Villa"/>
        <t:Anchor>
          <t:Comment id="1521518351"/>
        </t:Anchor>
        <t:Assign userId="S::cindy.castillo@supersalud.gov.co::8ccc7d2b-bac3-4c58-b708-89e03af67728" userProvider="AD" userName="Cindy Carolina Castillo Parra"/>
      </t:Event>
      <t:Event id="{E65FAAF6-25CA-4958-A74D-AC2DE275EA01}" time="2026-04-27T23:14:18.628Z">
        <t:Attribution userId="S::carolina.arcila@supersalud.gov.co::7627bf15-15f0-4a72-8564-1103cce54042" userProvider="AD" userName="Carolina Arcila Villa"/>
        <t:Anchor>
          <t:Comment id="1521518351"/>
        </t:Anchor>
        <t:SetTitle title="@Cindy Carolina Castillo Parra Carito, lo iba a ajustar pero siempre me limita lo que plantea jurídica, pues de acuerdo con lo comentado debería indicarse, desde mi punto de vista: Alinear los requisitos de experiencia del agente especial con los fines…"/>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2022-04-29T00:00:00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701973C847A294893532856799F39B2" ma:contentTypeVersion="17" ma:contentTypeDescription="Crear nuevo documento." ma:contentTypeScope="" ma:versionID="8fa2fd0684cbd5fb31f60e9ae5cc268a">
  <xsd:schema xmlns:xsd="http://www.w3.org/2001/XMLSchema" xmlns:xs="http://www.w3.org/2001/XMLSchema" xmlns:p="http://schemas.microsoft.com/office/2006/metadata/properties" xmlns:ns2="3a729d71-61e0-4f33-955c-732088a5031d" xmlns:ns3="45a58c5f-dc84-4b58-8b85-7e5f03f332bd" targetNamespace="http://schemas.microsoft.com/office/2006/metadata/properties" ma:root="true" ma:fieldsID="109d9545c8d46bcfaa6d3e4c0f722437" ns2:_="" ns3:_="">
    <xsd:import namespace="3a729d71-61e0-4f33-955c-732088a5031d"/>
    <xsd:import namespace="45a58c5f-dc84-4b58-8b85-7e5f03f332b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Location" minOccurs="0"/>
                <xsd:element ref="ns2:MediaLengthInSeconds" minOccurs="0"/>
                <xsd:element ref="ns2:_x00cd_ndi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729d71-61e0-4f33-955c-732088a50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d9dd0de2-0d50-4a6d-84d8-73a82e13a0b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_x00cd_ndice" ma:index="23" nillable="true" ma:displayName="Índice " ma:format="Dropdown" ma:internalName="_x00cd_ndice" ma:percentage="FALSE">
      <xsd:simpleType>
        <xsd:restriction base="dms:Number">
          <xsd:minInclusive value="1"/>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a58c5f-dc84-4b58-8b85-7e5f03f332b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17fb8f6-d489-4c08-819e-30ea652d4781}" ma:internalName="TaxCatchAll" ma:showField="CatchAllData" ma:web="45a58c5f-dc84-4b58-8b85-7e5f03f332b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a729d71-61e0-4f33-955c-732088a5031d">
      <Terms xmlns="http://schemas.microsoft.com/office/infopath/2007/PartnerControls"/>
    </lcf76f155ced4ddcb4097134ff3c332f>
    <TaxCatchAll xmlns="45a58c5f-dc84-4b58-8b85-7e5f03f332bd" xsi:nil="true"/>
    <_x00cd_ndice xmlns="3a729d71-61e0-4f33-955c-732088a5031d"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FD0C2E-B13F-4986-AAC3-6BDB0F16807D}">
  <ds:schemaRefs>
    <ds:schemaRef ds:uri="http://schemas.openxmlformats.org/officeDocument/2006/bibliography"/>
  </ds:schemaRefs>
</ds:datastoreItem>
</file>

<file path=customXml/itemProps3.xml><?xml version="1.0" encoding="utf-8"?>
<ds:datastoreItem xmlns:ds="http://schemas.openxmlformats.org/officeDocument/2006/customXml" ds:itemID="{4DC26A46-94B3-4F67-8D5A-47CD3038F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729d71-61e0-4f33-955c-732088a5031d"/>
    <ds:schemaRef ds:uri="45a58c5f-dc84-4b58-8b85-7e5f03f33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A9C2C7-8B8E-4B5B-AE59-510EA9D5C169}">
  <ds:schemaRefs>
    <ds:schemaRef ds:uri="http://schemas.microsoft.com/sharepoint/v3/contenttype/forms"/>
  </ds:schemaRefs>
</ds:datastoreItem>
</file>

<file path=customXml/itemProps5.xml><?xml version="1.0" encoding="utf-8"?>
<ds:datastoreItem xmlns:ds="http://schemas.openxmlformats.org/officeDocument/2006/customXml" ds:itemID="{0CEF70DC-6EAD-4FA5-850F-6ABAC6A9C12E}">
  <ds:schemaRefs>
    <ds:schemaRef ds:uri="http://schemas.microsoft.com/office/2006/metadata/properties"/>
    <ds:schemaRef ds:uri="http://schemas.microsoft.com/office/infopath/2007/PartnerControls"/>
    <ds:schemaRef ds:uri="3a729d71-61e0-4f33-955c-732088a5031d"/>
    <ds:schemaRef ds:uri="45a58c5f-dc84-4b58-8b85-7e5f03f332bd"/>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13</Pages>
  <Words>3028</Words>
  <Characters>16657</Characters>
  <Application>Microsoft Office Word</Application>
  <DocSecurity>0</DocSecurity>
  <Lines>138</Lines>
  <Paragraphs>39</Paragraphs>
  <ScaleCrop>false</ScaleCrop>
  <Company/>
  <LinksUpToDate>false</LinksUpToDate>
  <CharactersWithSpaces>19646</CharactersWithSpaces>
  <SharedDoc>false</SharedDoc>
  <HLinks>
    <vt:vector size="6" baseType="variant">
      <vt:variant>
        <vt:i4>5898319</vt:i4>
      </vt:variant>
      <vt:variant>
        <vt:i4>0</vt:i4>
      </vt:variant>
      <vt:variant>
        <vt:i4>0</vt:i4>
      </vt:variant>
      <vt:variant>
        <vt:i4>5</vt:i4>
      </vt:variant>
      <vt:variant>
        <vt:lpwstr>https://normograma.supersalud.gov.co/compilacion/docs/decreto_0780_2016.htm</vt:lpwstr>
      </vt:variant>
      <vt:variant>
        <vt:lpwstr>2.5.5.1.5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Análisis normativo simple</dc:title>
  <dc:subject>Subtítulo o descripción del manual</dc:subject>
  <dc:creator>jlozano@supersalud.gov.co</dc:creator>
  <cp:keywords>DEFT31</cp:keywords>
  <dc:description/>
  <cp:lastModifiedBy>SMIS</cp:lastModifiedBy>
  <cp:revision>79</cp:revision>
  <cp:lastPrinted>2021-12-09T23:17:00Z</cp:lastPrinted>
  <dcterms:created xsi:type="dcterms:W3CDTF">2026-01-13T21:47:00Z</dcterms:created>
  <dcterms:modified xsi:type="dcterms:W3CDTF">2026-04-28T13:25:00Z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8fbe902b-783a-40b6-9b6f-dad60bc55948</vt:lpwstr>
  </property>
  <property fmtid="{D5CDD505-2E9C-101B-9397-08002B2CF9AE}" pid="3" name="ContentTypeId">
    <vt:lpwstr>0x0101006701973C847A294893532856799F39B2</vt:lpwstr>
  </property>
  <property fmtid="{D5CDD505-2E9C-101B-9397-08002B2CF9AE}" pid="4" name="Grupo_Objetivo">
    <vt:lpwstr>Usuarios</vt:lpwstr>
  </property>
  <property fmtid="{D5CDD505-2E9C-101B-9397-08002B2CF9AE}" pid="5" name="Publicado">
    <vt:bool>true</vt:bool>
  </property>
  <property fmtid="{D5CDD505-2E9C-101B-9397-08002B2CF9AE}" pid="6" name="Tematica">
    <vt:lpwstr>formato, Plantilla, Documento, Institucional, COFL02, procesador, palabra, Word,  Proceso, Comunicación, Comunicaciones, Estratégicas, Imagen, Institucional.</vt:lpwstr>
  </property>
  <property fmtid="{D5CDD505-2E9C-101B-9397-08002B2CF9AE}" pid="7" name="MediaServiceImageTags">
    <vt:lpwstr/>
  </property>
</Properties>
</file>